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E7" w:rsidRDefault="00FA098F">
      <w:pPr>
        <w:jc w:val="center"/>
        <w:rPr>
          <w:b/>
        </w:rPr>
      </w:pPr>
      <w:r>
        <w:rPr>
          <w:b/>
        </w:rPr>
        <w:t>СВЕДЕНИЯ</w:t>
      </w:r>
    </w:p>
    <w:p w:rsidR="00D40EE7" w:rsidRDefault="00FA098F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D40EE7" w:rsidRDefault="00D40EE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3990"/>
        <w:gridCol w:w="2763"/>
        <w:gridCol w:w="1489"/>
      </w:tblGrid>
      <w:tr w:rsidR="00D40EE7">
        <w:tc>
          <w:tcPr>
            <w:tcW w:w="1526" w:type="dxa"/>
            <w:shd w:val="clear" w:color="auto" w:fill="auto"/>
          </w:tcPr>
          <w:p w:rsidR="00D40EE7" w:rsidRDefault="00FA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87" w:type="dxa"/>
            <w:shd w:val="clear" w:color="auto" w:fill="auto"/>
          </w:tcPr>
          <w:p w:rsidR="00D40EE7" w:rsidRDefault="00FA098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>
              <w:rPr>
                <w:sz w:val="24"/>
                <w:szCs w:val="24"/>
              </w:rPr>
              <w:t>в этой организации (полностью с указанием структурного подразделения)</w:t>
            </w:r>
          </w:p>
        </w:tc>
        <w:tc>
          <w:tcPr>
            <w:tcW w:w="2827" w:type="dxa"/>
            <w:shd w:val="clear" w:color="auto" w:fill="auto"/>
          </w:tcPr>
          <w:p w:rsidR="00D40EE7" w:rsidRDefault="00FA098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</w:t>
            </w:r>
            <w:r>
              <w:rPr>
                <w:sz w:val="24"/>
                <w:szCs w:val="24"/>
              </w:rPr>
              <w:t xml:space="preserve"> работников)</w:t>
            </w:r>
          </w:p>
        </w:tc>
        <w:tc>
          <w:tcPr>
            <w:tcW w:w="1526" w:type="dxa"/>
            <w:shd w:val="clear" w:color="auto" w:fill="auto"/>
          </w:tcPr>
          <w:p w:rsidR="00D40EE7" w:rsidRDefault="00FA098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D40EE7">
        <w:tc>
          <w:tcPr>
            <w:tcW w:w="1526" w:type="dxa"/>
            <w:shd w:val="clear" w:color="auto" w:fill="auto"/>
          </w:tcPr>
          <w:p w:rsidR="00D40EE7" w:rsidRDefault="00FA098F">
            <w:pPr>
              <w:jc w:val="both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Порфирьева Анна Вениаминовна</w:t>
            </w:r>
          </w:p>
        </w:tc>
        <w:tc>
          <w:tcPr>
            <w:tcW w:w="4087" w:type="dxa"/>
            <w:shd w:val="clear" w:color="auto" w:fill="auto"/>
          </w:tcPr>
          <w:p w:rsidR="00D40EE7" w:rsidRDefault="00FA098F" w:rsidP="00FA098F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«Казанский федеральный университет» 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Химический институт им. А.М. Бутлерова</w:t>
            </w:r>
            <w:r>
              <w:rPr>
                <w:bCs/>
                <w:sz w:val="24"/>
                <w:szCs w:val="18"/>
              </w:rPr>
              <w:t>.</w:t>
            </w:r>
          </w:p>
          <w:p w:rsidR="00D40EE7" w:rsidRDefault="00FA098F" w:rsidP="00FA098F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420008, Казань, ул. Кремлевская, д. </w:t>
            </w:r>
            <w:r>
              <w:rPr>
                <w:bCs/>
                <w:sz w:val="24"/>
                <w:szCs w:val="18"/>
              </w:rPr>
              <w:t>18, Учебное здание №04</w:t>
            </w:r>
          </w:p>
          <w:p w:rsidR="00D40EE7" w:rsidRDefault="00FA098F" w:rsidP="00FA098F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18"/>
              </w:rPr>
              <w:t>Тел</w:t>
            </w:r>
            <w:r>
              <w:rPr>
                <w:bCs/>
                <w:sz w:val="24"/>
                <w:szCs w:val="18"/>
                <w:lang w:val="en-US"/>
              </w:rPr>
              <w:t>.: 2337744</w:t>
            </w:r>
          </w:p>
          <w:p w:rsidR="00D40EE7" w:rsidRDefault="00FA098F" w:rsidP="00FA098F">
            <w:pPr>
              <w:jc w:val="center"/>
              <w:rPr>
                <w:bCs/>
                <w:sz w:val="24"/>
                <w:szCs w:val="18"/>
                <w:lang w:val="en-US"/>
              </w:rPr>
            </w:pPr>
            <w:r>
              <w:rPr>
                <w:bCs/>
                <w:sz w:val="24"/>
                <w:szCs w:val="18"/>
                <w:lang w:val="en-US"/>
              </w:rPr>
              <w:t>E-mail: Anna.Porfireva@kpfu.ru</w:t>
            </w:r>
          </w:p>
          <w:p w:rsidR="00D40EE7" w:rsidRDefault="00FA098F" w:rsidP="00FA098F">
            <w:pPr>
              <w:jc w:val="center"/>
              <w:rPr>
                <w:bCs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Доцент кафедры аналитической химии Химического института им. А. М. Бутлерова</w:t>
            </w:r>
          </w:p>
        </w:tc>
        <w:tc>
          <w:tcPr>
            <w:tcW w:w="2827" w:type="dxa"/>
            <w:shd w:val="clear" w:color="auto" w:fill="auto"/>
          </w:tcPr>
          <w:p w:rsidR="00FA098F" w:rsidRDefault="00FA098F" w:rsidP="00FA098F">
            <w:pPr>
              <w:jc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к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андидат химических наук,</w:t>
            </w:r>
          </w:p>
          <w:p w:rsidR="00D40EE7" w:rsidRDefault="00FA098F" w:rsidP="00FA098F">
            <w:pPr>
              <w:jc w:val="center"/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1</w:t>
            </w:r>
            <w:r>
              <w:rPr>
                <w:sz w:val="24"/>
                <w:szCs w:val="18"/>
              </w:rPr>
              <w:t>.</w:t>
            </w:r>
            <w:r>
              <w:rPr>
                <w:sz w:val="24"/>
                <w:szCs w:val="18"/>
              </w:rPr>
              <w:t>4</w:t>
            </w:r>
            <w:r>
              <w:rPr>
                <w:sz w:val="24"/>
                <w:szCs w:val="18"/>
              </w:rPr>
              <w:t>.2</w:t>
            </w:r>
            <w:r>
              <w:rPr>
                <w:sz w:val="24"/>
                <w:szCs w:val="18"/>
              </w:rPr>
              <w:t xml:space="preserve">. </w:t>
            </w:r>
            <w:r>
              <w:rPr>
                <w:sz w:val="24"/>
                <w:szCs w:val="18"/>
              </w:rPr>
              <w:t xml:space="preserve">Аналитическая </w:t>
            </w:r>
            <w:bookmarkStart w:id="0" w:name="_GoBack"/>
            <w:bookmarkEnd w:id="0"/>
            <w:r>
              <w:rPr>
                <w:sz w:val="24"/>
                <w:szCs w:val="18"/>
              </w:rPr>
              <w:t>химия</w:t>
            </w:r>
          </w:p>
        </w:tc>
        <w:tc>
          <w:tcPr>
            <w:tcW w:w="1526" w:type="dxa"/>
            <w:shd w:val="clear" w:color="auto" w:fill="auto"/>
          </w:tcPr>
          <w:p w:rsidR="00D40EE7" w:rsidRDefault="00FA098F" w:rsidP="00FA098F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доцент</w:t>
            </w:r>
          </w:p>
        </w:tc>
      </w:tr>
      <w:tr w:rsidR="00D40EE7">
        <w:tc>
          <w:tcPr>
            <w:tcW w:w="9966" w:type="dxa"/>
            <w:gridSpan w:val="4"/>
            <w:shd w:val="clear" w:color="auto" w:fill="auto"/>
          </w:tcPr>
          <w:p w:rsidR="00D40EE7" w:rsidRDefault="00FA09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D40EE7" w:rsidRPr="00FA098F">
        <w:tc>
          <w:tcPr>
            <w:tcW w:w="9966" w:type="dxa"/>
            <w:gridSpan w:val="4"/>
            <w:shd w:val="clear" w:color="auto" w:fill="auto"/>
          </w:tcPr>
          <w:p w:rsidR="00D40EE7" w:rsidRDefault="00FA098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sz w:val="24"/>
                <w:szCs w:val="24"/>
                <w:lang w:val="en-US"/>
              </w:rPr>
              <w:t>Evtugyn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G.  Electrochemical </w:t>
            </w:r>
            <w:proofErr w:type="spellStart"/>
            <w:r>
              <w:rPr>
                <w:sz w:val="24"/>
                <w:szCs w:val="24"/>
                <w:lang w:val="en-US"/>
              </w:rPr>
              <w:t>Aptasensors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for Antibiotics Detection: Recent Achievements and Applications for Monitoring Food Safety/G. </w:t>
            </w:r>
            <w:proofErr w:type="spellStart"/>
            <w:r>
              <w:rPr>
                <w:sz w:val="24"/>
                <w:szCs w:val="24"/>
                <w:lang w:val="en-US"/>
              </w:rPr>
              <w:t>Evtugyn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Porfireva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G. </w:t>
            </w:r>
            <w:proofErr w:type="spellStart"/>
            <w:r>
              <w:rPr>
                <w:sz w:val="24"/>
                <w:szCs w:val="24"/>
                <w:lang w:val="en-US"/>
              </w:rPr>
              <w:t>Tsekenis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[et al.] //Sensors. – 2022. – V. 22. – Is. 10. – P. 3684.</w:t>
            </w:r>
          </w:p>
          <w:p w:rsidR="00D40EE7" w:rsidRDefault="00FA098F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Evtugyn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G. A.,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Porfireva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A. </w:t>
            </w:r>
            <w:r>
              <w:rPr>
                <w:b/>
                <w:sz w:val="24"/>
                <w:szCs w:val="24"/>
                <w:lang w:val="en-US"/>
              </w:rPr>
              <w:t>V.,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Belyakova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S. V. Electrochemical DNA sensors for drug determination //Journal of Pharmaceutical and Biomedical Analysis. – 2022. – P. 115058.</w:t>
            </w:r>
          </w:p>
          <w:p w:rsidR="00D40EE7" w:rsidRDefault="00FA098F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Evtugyn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G. Electrochemical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Aptasensors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for Antibiotics Detection: Recent Achievements and Applications for Moni</w:t>
            </w:r>
            <w:r>
              <w:rPr>
                <w:bCs/>
                <w:sz w:val="24"/>
                <w:szCs w:val="24"/>
                <w:lang w:val="en-US"/>
              </w:rPr>
              <w:t xml:space="preserve">toring Food Safety / G.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Evtugyn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Porfireva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G.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Tsekenis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[et al.] //Sensors. – 2022. – V. 22. – Is. 10. – P. 3684.</w:t>
            </w:r>
          </w:p>
          <w:p w:rsidR="00D40EE7" w:rsidRDefault="00FA098F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Evtyugin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G.A.,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Porfir’eva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A.V.</w:t>
            </w:r>
            <w:r>
              <w:rPr>
                <w:bCs/>
                <w:sz w:val="24"/>
                <w:szCs w:val="24"/>
                <w:lang w:val="en-US"/>
              </w:rPr>
              <w:t xml:space="preserve"> Determination of Organic Compounds in Aqueous–Organic and Dispersed Media Using Electrochemical Methods of </w:t>
            </w:r>
            <w:r>
              <w:rPr>
                <w:bCs/>
                <w:sz w:val="24"/>
                <w:szCs w:val="24"/>
                <w:lang w:val="en-US"/>
              </w:rPr>
              <w:t xml:space="preserve">Analysis // Journal of Analytical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Chemistrythis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link is disabled. - 2021. - V. 76. – Is. 10. – P. 1131-1143.</w:t>
            </w:r>
          </w:p>
          <w:p w:rsidR="00D40EE7" w:rsidRDefault="00FA098F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Kulikova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T. Electrochemical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dna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sensor based on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acridine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yellow adsorbed on glassy carbon electrode /T.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Kulikova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Porfireva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Rogov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 A. [et.al]/</w:t>
            </w:r>
            <w:r>
              <w:rPr>
                <w:bCs/>
                <w:sz w:val="24"/>
                <w:szCs w:val="24"/>
                <w:lang w:val="en-US"/>
              </w:rPr>
              <w:t>/Sensors. – 2021. – V. 21. – Is. 22. – P. 7763</w:t>
            </w:r>
          </w:p>
          <w:p w:rsidR="00D40EE7" w:rsidRDefault="00FA098F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Evtugyn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G. Advances in electrochemical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aptasensors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based on carbon nanomaterials 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G.Evtugyn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Porfireva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R.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Shamagsumova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[et al.]//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Chemosensors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– 2020. – V. 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>8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. – Is. 4. P. 1–37.</w:t>
            </w:r>
          </w:p>
          <w:p w:rsidR="00D40EE7" w:rsidRDefault="00FA098F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Porfireva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 A</w:t>
            </w:r>
            <w:r>
              <w:rPr>
                <w:bCs/>
                <w:sz w:val="24"/>
                <w:szCs w:val="24"/>
                <w:lang w:val="en-US"/>
              </w:rPr>
              <w:t xml:space="preserve"> Electrochemica</w:t>
            </w:r>
            <w:r>
              <w:rPr>
                <w:bCs/>
                <w:sz w:val="24"/>
                <w:szCs w:val="24"/>
                <w:lang w:val="en-US"/>
              </w:rPr>
              <w:t xml:space="preserve">l sensor based on Poly (Azure B)-DNA composite for doxorubicin determination/ A.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Porfireva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Vorobev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S.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Babkina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[et. al.]//Sensors (Switzerland). – 2019. – V. 19. – Is. 9. P. 2085</w:t>
            </w:r>
          </w:p>
          <w:p w:rsidR="00D40EE7" w:rsidRDefault="00FA098F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lastRenderedPageBreak/>
              <w:t>Porifreva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 A.V.</w:t>
            </w:r>
            <w:r>
              <w:rPr>
                <w:bCs/>
                <w:sz w:val="24"/>
                <w:szCs w:val="24"/>
                <w:lang w:val="en-US"/>
              </w:rPr>
              <w:t xml:space="preserve"> Glassy Carbon Electrode Modified with Silver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Nanodendrite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Implemented in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Polylactide-Thiacalix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[4]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arene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Copolymer for the Electrochemical Determination of Tryptophan / A.V.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Porifreva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V.V.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Gorbatchuk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 V.G. 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Evtugyn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[et.al.]//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Electroanalysis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 – 2018. – V. 30. – Is. 4. – P. 641-649</w:t>
            </w:r>
          </w:p>
        </w:tc>
      </w:tr>
    </w:tbl>
    <w:p w:rsidR="00D40EE7" w:rsidRDefault="00D40EE7">
      <w:pPr>
        <w:rPr>
          <w:sz w:val="24"/>
          <w:szCs w:val="24"/>
          <w:lang w:val="en-US"/>
        </w:rPr>
      </w:pPr>
    </w:p>
    <w:p w:rsidR="00D40EE7" w:rsidRDefault="00D40EE7">
      <w:pPr>
        <w:rPr>
          <w:bCs/>
          <w:iCs/>
          <w:sz w:val="24"/>
          <w:szCs w:val="24"/>
          <w:lang w:val="en-US"/>
        </w:rPr>
      </w:pPr>
    </w:p>
    <w:sectPr w:rsidR="00D40EE7">
      <w:pgSz w:w="12240" w:h="15840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51E"/>
    <w:multiLevelType w:val="singleLevel"/>
    <w:tmpl w:val="2C4C25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942D5"/>
    <w:rsid w:val="00110851"/>
    <w:rsid w:val="001112F4"/>
    <w:rsid w:val="001825EB"/>
    <w:rsid w:val="001D05BC"/>
    <w:rsid w:val="002642B0"/>
    <w:rsid w:val="00273128"/>
    <w:rsid w:val="002C38F5"/>
    <w:rsid w:val="003A5485"/>
    <w:rsid w:val="003C285E"/>
    <w:rsid w:val="003E21F9"/>
    <w:rsid w:val="00495032"/>
    <w:rsid w:val="004A4E27"/>
    <w:rsid w:val="004B0837"/>
    <w:rsid w:val="00535610"/>
    <w:rsid w:val="00574870"/>
    <w:rsid w:val="00596A07"/>
    <w:rsid w:val="005F3F3B"/>
    <w:rsid w:val="00645F19"/>
    <w:rsid w:val="006730A0"/>
    <w:rsid w:val="006D7CE4"/>
    <w:rsid w:val="00722376"/>
    <w:rsid w:val="007E0F16"/>
    <w:rsid w:val="007E0FBE"/>
    <w:rsid w:val="007F29A8"/>
    <w:rsid w:val="007F7EF7"/>
    <w:rsid w:val="009A0F63"/>
    <w:rsid w:val="009A271A"/>
    <w:rsid w:val="00A00B98"/>
    <w:rsid w:val="00AC38BA"/>
    <w:rsid w:val="00AF0FE4"/>
    <w:rsid w:val="00B67B54"/>
    <w:rsid w:val="00BF3245"/>
    <w:rsid w:val="00C861DE"/>
    <w:rsid w:val="00CE754A"/>
    <w:rsid w:val="00D40EE7"/>
    <w:rsid w:val="00D56888"/>
    <w:rsid w:val="00DA22A4"/>
    <w:rsid w:val="00E12A96"/>
    <w:rsid w:val="00F0271F"/>
    <w:rsid w:val="00F10E03"/>
    <w:rsid w:val="00F40C2C"/>
    <w:rsid w:val="00FA098F"/>
    <w:rsid w:val="00FB2585"/>
    <w:rsid w:val="0BE37E56"/>
    <w:rsid w:val="0E2D41EA"/>
    <w:rsid w:val="1A812A4E"/>
    <w:rsid w:val="364B5F18"/>
    <w:rsid w:val="6F392F8E"/>
    <w:rsid w:val="7E34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B8C91"/>
  <w15:docId w15:val="{86CF8D60-373B-4F77-BB40-8FA23CFD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Hyperlink"/>
    <w:basedOn w:val="a0"/>
    <w:rPr>
      <w:color w:val="0563C1" w:themeColor="hyperlink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footnote text"/>
    <w:basedOn w:val="a"/>
    <w:link w:val="a7"/>
    <w:semiHidden/>
    <w:qFormat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7">
    <w:name w:val="Текст сноски Знак"/>
    <w:link w:val="a6"/>
    <w:semiHidden/>
    <w:qFormat/>
    <w:rPr>
      <w:lang w:val="ru-RU" w:eastAsia="ru-RU" w:bidi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2022-11-03T06:15:00Z</dcterms:created>
  <dcterms:modified xsi:type="dcterms:W3CDTF">2022-11-03T06:15:00Z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F7C19783BC3847AE9C28C26A6EAF8663</vt:lpwstr>
  </property>
</Properties>
</file>