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BDFC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209C6628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B07DEE1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6C79DC4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291D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366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9F2D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A5B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3DD19B12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814" w14:textId="5FEE699C" w:rsidR="00052B9E" w:rsidRP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0E3C">
              <w:rPr>
                <w:sz w:val="24"/>
                <w:szCs w:val="24"/>
              </w:rPr>
              <w:t>Газизов</w:t>
            </w:r>
            <w:proofErr w:type="spellEnd"/>
            <w:r w:rsidRPr="00FB0E3C">
              <w:rPr>
                <w:sz w:val="24"/>
                <w:szCs w:val="24"/>
              </w:rPr>
              <w:t xml:space="preserve"> Альмир </w:t>
            </w:r>
            <w:proofErr w:type="spellStart"/>
            <w:r w:rsidRPr="00FB0E3C">
              <w:rPr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7F6" w14:textId="452CF567" w:rsidR="00052B9E" w:rsidRDefault="00052B9E" w:rsidP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52B9E">
              <w:rPr>
                <w:sz w:val="24"/>
                <w:szCs w:val="24"/>
                <w:lang w:eastAsia="en-US"/>
              </w:rPr>
              <w:t>420088, г. Казань, ул. Академика Арбузова, д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052B9E">
              <w:rPr>
                <w:sz w:val="24"/>
                <w:szCs w:val="24"/>
                <w:lang w:eastAsia="en-US"/>
              </w:rPr>
              <w:t xml:space="preserve"> 8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14:paraId="06EE93BC" w14:textId="2B1CDAD4" w:rsidR="00052B9E" w:rsidRDefault="00393F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3F3A">
              <w:rPr>
                <w:sz w:val="24"/>
                <w:szCs w:val="24"/>
                <w:lang w:eastAsia="en-US"/>
              </w:rPr>
              <w:t>Институт органической и физической химии им. А.Е. Арбузова – обособленное структурное подра</w:t>
            </w:r>
            <w:r>
              <w:rPr>
                <w:sz w:val="24"/>
                <w:szCs w:val="24"/>
                <w:lang w:eastAsia="en-US"/>
              </w:rPr>
              <w:t>зделение Федерального государст</w:t>
            </w:r>
            <w:r w:rsidRPr="00393F3A">
              <w:rPr>
                <w:sz w:val="24"/>
                <w:szCs w:val="24"/>
                <w:lang w:eastAsia="en-US"/>
              </w:rPr>
              <w:t>венного бюджетного учреждения науки «Федеральный исследовательский центр «Казанский научный центр Российской академии наук», г. Казань, ведущий научный сотру</w:t>
            </w:r>
            <w:r>
              <w:rPr>
                <w:sz w:val="24"/>
                <w:szCs w:val="24"/>
                <w:lang w:eastAsia="en-US"/>
              </w:rPr>
              <w:t>дник лаборатории элементооргани</w:t>
            </w:r>
            <w:r w:rsidRPr="00393F3A">
              <w:rPr>
                <w:sz w:val="24"/>
                <w:szCs w:val="24"/>
                <w:lang w:eastAsia="en-US"/>
              </w:rPr>
              <w:t>ческого синтеза им. А.Н. Пудовика</w:t>
            </w:r>
            <w:r w:rsidR="00052B9E" w:rsidRPr="00052B9E">
              <w:rPr>
                <w:sz w:val="24"/>
                <w:szCs w:val="24"/>
                <w:lang w:eastAsia="en-US"/>
              </w:rPr>
              <w:t xml:space="preserve"> </w:t>
            </w:r>
          </w:p>
          <w:p w14:paraId="2281C36A" w14:textId="47CAFEAE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</w:t>
            </w:r>
            <w:proofErr w:type="spellStart"/>
            <w:r>
              <w:rPr>
                <w:sz w:val="24"/>
                <w:szCs w:val="24"/>
                <w:lang w:eastAsia="en-US"/>
              </w:rPr>
              <w:t>служ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052B9E">
              <w:rPr>
                <w:sz w:val="24"/>
                <w:szCs w:val="24"/>
                <w:lang w:eastAsia="en-US"/>
              </w:rPr>
              <w:t>8 (843) 272-73-44</w:t>
            </w:r>
          </w:p>
          <w:p w14:paraId="67328063" w14:textId="19651B2D" w:rsidR="00052B9E" w:rsidRPr="00B5295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моб. </w:t>
            </w:r>
            <w:r w:rsidRPr="00B52957">
              <w:rPr>
                <w:sz w:val="24"/>
                <w:szCs w:val="24"/>
                <w:lang w:eastAsia="en-US"/>
              </w:rPr>
              <w:t>+7</w:t>
            </w:r>
            <w:r w:rsidR="006A541B">
              <w:rPr>
                <w:sz w:val="24"/>
                <w:szCs w:val="24"/>
                <w:lang w:eastAsia="en-US"/>
              </w:rPr>
              <w:t>-</w:t>
            </w:r>
            <w:r w:rsidR="001478FE" w:rsidRPr="001478FE">
              <w:rPr>
                <w:sz w:val="24"/>
                <w:szCs w:val="24"/>
                <w:lang w:eastAsia="en-US"/>
              </w:rPr>
              <w:t>937</w:t>
            </w:r>
            <w:r w:rsidRPr="00B52957">
              <w:rPr>
                <w:sz w:val="24"/>
                <w:szCs w:val="24"/>
                <w:lang w:eastAsia="en-US"/>
              </w:rPr>
              <w:t>-</w:t>
            </w:r>
            <w:r w:rsidR="001478FE" w:rsidRPr="001478FE">
              <w:rPr>
                <w:sz w:val="24"/>
                <w:szCs w:val="24"/>
                <w:lang w:eastAsia="en-US"/>
              </w:rPr>
              <w:t>617</w:t>
            </w:r>
            <w:r w:rsidRPr="00B52957">
              <w:rPr>
                <w:sz w:val="24"/>
                <w:szCs w:val="24"/>
                <w:lang w:eastAsia="en-US"/>
              </w:rPr>
              <w:t>-</w:t>
            </w:r>
            <w:r w:rsidR="001478FE" w:rsidRPr="001478FE">
              <w:rPr>
                <w:sz w:val="24"/>
                <w:szCs w:val="24"/>
                <w:lang w:eastAsia="en-US"/>
              </w:rPr>
              <w:t>89-14</w:t>
            </w:r>
          </w:p>
          <w:p w14:paraId="17744FBA" w14:textId="31327318" w:rsidR="00052B9E" w:rsidRPr="00B5295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B5295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B52957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52B9E">
              <w:rPr>
                <w:sz w:val="24"/>
                <w:szCs w:val="24"/>
                <w:lang w:val="en-US" w:eastAsia="en-US"/>
              </w:rPr>
              <w:t>agazizov</w:t>
            </w:r>
            <w:proofErr w:type="spellEnd"/>
            <w:r w:rsidRPr="00B52957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052B9E">
              <w:rPr>
                <w:sz w:val="24"/>
                <w:szCs w:val="24"/>
                <w:lang w:val="en-US" w:eastAsia="en-US"/>
              </w:rPr>
              <w:t>iopc</w:t>
            </w:r>
            <w:proofErr w:type="spellEnd"/>
            <w:r w:rsidRPr="00B5295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52B9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4C6A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3937610A" w14:textId="6A7031F1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1.4.3. </w:t>
            </w:r>
            <w:bookmarkStart w:id="0" w:name="_GoBack"/>
            <w:bookmarkEnd w:id="0"/>
            <w:r w:rsidR="00431D3F">
              <w:rPr>
                <w:sz w:val="24"/>
                <w:szCs w:val="24"/>
                <w:lang w:eastAsia="en-US"/>
              </w:rPr>
              <w:t xml:space="preserve">Органическая </w:t>
            </w: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9101" w14:textId="355F967F" w:rsidR="00052B9E" w:rsidRPr="00B52957" w:rsidRDefault="00B529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14:paraId="2B90D52A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D4DC" w14:textId="77777777"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2B9E" w:rsidRPr="00345606" w14:paraId="4542513D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035F" w14:textId="77777777" w:rsidR="00345606" w:rsidRPr="009617B2" w:rsidRDefault="00345606" w:rsidP="00345606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Chugunova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E.,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Islamov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D.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Islamov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Tulesinova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A., Kharlamov S.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Syakaev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V.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Babaev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V.,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Akylbekov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N.,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Appazov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N.,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Usachev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Zhapparbergenov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R. The reactivity of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azidonitrobenzofuroxans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towards 1</w:t>
            </w:r>
            <w:proofErr w:type="gram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,3</w:t>
            </w:r>
            <w:proofErr w:type="gram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-dicarbonyl compounds: Unexpected formation of amino derivative via the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regitz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diazo transfer and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tautomerism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study.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International Journal of Molecular Sciences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9617B2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22 (17)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, 9646.</w:t>
            </w:r>
          </w:p>
          <w:p w14:paraId="7F87D31F" w14:textId="77777777" w:rsidR="00052B9E" w:rsidRPr="009617B2" w:rsidRDefault="00345606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V., Kuznetsova E. A.,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Abdullaeva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D. S.,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M. A.,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Voloshina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D.,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Syakaev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V. V.,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Lyubina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P.,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Amerhanova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S. K.,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Voronina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J.K. The highly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regioselective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synthesis of novel imidazolidin-2-ones via the intramolecular cyclization/electrophilic substitution of urea derivatives and the evaluation of their anticancer activity.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Molecules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9617B2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26 (15)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, 4432.</w:t>
            </w:r>
          </w:p>
          <w:p w14:paraId="6FFDD16C" w14:textId="72A29258" w:rsidR="00345606" w:rsidRPr="009617B2" w:rsidRDefault="00345606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M. A.,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Sinyashin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O. G. Advances in the synthesis of heterocycles bearing an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endocyclic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urea moiety.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Russian Chemical Reviews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9617B2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90 (3)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, 395–417.</w:t>
            </w:r>
          </w:p>
          <w:p w14:paraId="664C648A" w14:textId="77777777" w:rsidR="00345606" w:rsidRPr="009617B2" w:rsidRDefault="009347F8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Akhmadullin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R. M.,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Galiev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M. F.,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Nugumanova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G. N.,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Cherezova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E. N.,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Verizhnikov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L. V.,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Akhmadullina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G.,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Diachkov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I. M. Synthesis and antioxidant properties of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bis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(3-(3,5-di-tert-butyl-4-hydroxyphenyl)propyl)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phosphite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Phosphorus, Sulfur and Silicon and the Related Elements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9617B2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196 (7)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, 643–646.</w:t>
            </w:r>
          </w:p>
          <w:p w14:paraId="233CF338" w14:textId="77777777" w:rsidR="009617B2" w:rsidRPr="00826BFA" w:rsidRDefault="009617B2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Otegen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N. K.,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Voronina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J. K.,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Strelnik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G.,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Samigullina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I.,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M.A. Nucleophilic Cyclization/Electrophilic Substitution of (2,2-Dialkoxyethyl)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ureas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Highly 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Regioselective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Access to Novel 4-(Het)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arylimidazolidinones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and Benzo[ d[[1,3]</w:t>
            </w:r>
            <w:proofErr w:type="spellStart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diazepinones</w:t>
            </w:r>
            <w:proofErr w:type="spell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Synthesis (Germany)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9617B2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9617B2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52 (21)</w:t>
            </w:r>
            <w:r w:rsidRPr="009617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, 3263–3271.</w:t>
            </w:r>
          </w:p>
          <w:p w14:paraId="1AD6CFDE" w14:textId="77777777" w:rsidR="00826BFA" w:rsidRDefault="00826BFA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Chugunova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E.,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Sazykina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M.,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Akylbekov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N.,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Gildebrant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Sazykin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I.,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Appazov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N.,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Karchava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S.,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Klimova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M.,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Voloshina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Sapunova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 Design of novel 4-aminobenzofuroxans and evaluation of their antimicrobial and anticancer activity. </w:t>
            </w:r>
            <w:r w:rsidRPr="00826BFA">
              <w:rPr>
                <w:i/>
                <w:iCs/>
                <w:sz w:val="22"/>
                <w:szCs w:val="22"/>
                <w:lang w:val="en-US" w:eastAsia="en-US"/>
              </w:rPr>
              <w:t>International Journal of Molecular Sciences</w:t>
            </w:r>
            <w:r w:rsidRPr="00826BFA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826BFA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826BFA">
              <w:rPr>
                <w:sz w:val="22"/>
                <w:szCs w:val="22"/>
                <w:lang w:val="en-US" w:eastAsia="en-US"/>
              </w:rPr>
              <w:t xml:space="preserve">, </w:t>
            </w:r>
            <w:r w:rsidRPr="00826BFA">
              <w:rPr>
                <w:i/>
                <w:iCs/>
                <w:sz w:val="22"/>
                <w:szCs w:val="22"/>
                <w:lang w:val="en-US" w:eastAsia="en-US"/>
              </w:rPr>
              <w:t>21 (21)</w:t>
            </w:r>
            <w:r w:rsidRPr="00826BFA">
              <w:rPr>
                <w:sz w:val="22"/>
                <w:szCs w:val="22"/>
                <w:lang w:val="en-US" w:eastAsia="en-US"/>
              </w:rPr>
              <w:t>, 8292.</w:t>
            </w:r>
          </w:p>
          <w:p w14:paraId="34C5CE2A" w14:textId="77777777" w:rsidR="00826BFA" w:rsidRDefault="00826BFA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Turmanov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R. A.,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Abdullaeva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D. S.,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Voronina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J. K.,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Appazov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N. O.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Buzyurova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D. N.,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M. A. 2-(Het)aryl-N-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phosphorylpyrrolidines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via Cyclization of Phosphorus Acid Amides: A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Regioselective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Approach. </w:t>
            </w:r>
            <w:proofErr w:type="spellStart"/>
            <w:r w:rsidRPr="00826BFA">
              <w:rPr>
                <w:i/>
                <w:iCs/>
                <w:sz w:val="22"/>
                <w:szCs w:val="22"/>
                <w:lang w:val="en-US" w:eastAsia="en-US"/>
              </w:rPr>
              <w:t>ChemistrySelect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826BFA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826BFA">
              <w:rPr>
                <w:sz w:val="22"/>
                <w:szCs w:val="22"/>
                <w:lang w:val="en-US" w:eastAsia="en-US"/>
              </w:rPr>
              <w:t xml:space="preserve">, </w:t>
            </w:r>
            <w:r w:rsidRPr="00826BFA">
              <w:rPr>
                <w:i/>
                <w:iCs/>
                <w:sz w:val="22"/>
                <w:szCs w:val="22"/>
                <w:lang w:val="en-US" w:eastAsia="en-US"/>
              </w:rPr>
              <w:t>5 (39)</w:t>
            </w:r>
            <w:r w:rsidRPr="00826BFA">
              <w:rPr>
                <w:sz w:val="22"/>
                <w:szCs w:val="22"/>
                <w:lang w:val="en-US" w:eastAsia="en-US"/>
              </w:rPr>
              <w:t>, 12045–12050.</w:t>
            </w:r>
          </w:p>
          <w:p w14:paraId="4303F3F8" w14:textId="77777777" w:rsidR="00826BFA" w:rsidRDefault="00826BFA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Turmanov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R. A.,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 S., Kuznetsova E. A.,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M. A. Synthesis of Novel 2-Hetarylpyrrolidines via the Reaction of N-(4,4-diethoxybutyl)</w:t>
            </w:r>
            <w:proofErr w:type="spellStart"/>
            <w:r w:rsidRPr="00826BFA">
              <w:rPr>
                <w:sz w:val="22"/>
                <w:szCs w:val="22"/>
                <w:lang w:val="en-US" w:eastAsia="en-US"/>
              </w:rPr>
              <w:t>amidophosphates</w:t>
            </w:r>
            <w:proofErr w:type="spellEnd"/>
            <w:r w:rsidRPr="00826BFA">
              <w:rPr>
                <w:sz w:val="22"/>
                <w:szCs w:val="22"/>
                <w:lang w:val="en-US" w:eastAsia="en-US"/>
              </w:rPr>
              <w:t xml:space="preserve"> with C-nucleophiles. </w:t>
            </w:r>
            <w:r w:rsidRPr="00826BFA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826BFA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826BFA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826BFA">
              <w:rPr>
                <w:sz w:val="22"/>
                <w:szCs w:val="22"/>
                <w:lang w:val="en-US" w:eastAsia="en-US"/>
              </w:rPr>
              <w:t xml:space="preserve">, </w:t>
            </w:r>
            <w:r w:rsidRPr="00826BFA">
              <w:rPr>
                <w:i/>
                <w:iCs/>
                <w:sz w:val="22"/>
                <w:szCs w:val="22"/>
                <w:lang w:val="en-US" w:eastAsia="en-US"/>
              </w:rPr>
              <w:t>56 (10)</w:t>
            </w:r>
            <w:r w:rsidRPr="00826BFA">
              <w:rPr>
                <w:sz w:val="22"/>
                <w:szCs w:val="22"/>
                <w:lang w:val="en-US" w:eastAsia="en-US"/>
              </w:rPr>
              <w:t>, 1363–1365.</w:t>
            </w:r>
          </w:p>
          <w:p w14:paraId="508E51C7" w14:textId="77777777" w:rsidR="007A3F28" w:rsidRDefault="007A3F28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A3F28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7A3F28">
              <w:rPr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7A3F28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7A3F28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7A3F28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7A3F28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7A3F28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7A3F28">
              <w:rPr>
                <w:sz w:val="22"/>
                <w:szCs w:val="22"/>
                <w:lang w:val="en-US" w:eastAsia="en-US"/>
              </w:rPr>
              <w:t xml:space="preserve"> M. A. 3-Ylidene-1-pyrrolines: Synthesis, reactions and perspectives. </w:t>
            </w:r>
            <w:r w:rsidRPr="007A3F28">
              <w:rPr>
                <w:i/>
                <w:iCs/>
                <w:sz w:val="22"/>
                <w:szCs w:val="22"/>
                <w:lang w:val="en-US" w:eastAsia="en-US"/>
              </w:rPr>
              <w:t>Tetrahedron Letters</w:t>
            </w:r>
            <w:r w:rsidRPr="007A3F2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7A3F28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7A3F28">
              <w:rPr>
                <w:sz w:val="22"/>
                <w:szCs w:val="22"/>
                <w:lang w:val="en-US" w:eastAsia="en-US"/>
              </w:rPr>
              <w:t xml:space="preserve">, </w:t>
            </w:r>
            <w:r w:rsidRPr="007A3F28">
              <w:rPr>
                <w:i/>
                <w:iCs/>
                <w:sz w:val="22"/>
                <w:szCs w:val="22"/>
                <w:lang w:val="en-US" w:eastAsia="en-US"/>
              </w:rPr>
              <w:t>61 (39)</w:t>
            </w:r>
            <w:r w:rsidRPr="007A3F28">
              <w:rPr>
                <w:sz w:val="22"/>
                <w:szCs w:val="22"/>
                <w:lang w:val="en-US" w:eastAsia="en-US"/>
              </w:rPr>
              <w:t>, 152371.</w:t>
            </w:r>
          </w:p>
          <w:p w14:paraId="38E142F8" w14:textId="77777777" w:rsidR="00C74CEF" w:rsidRDefault="00C74CEF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Turmanov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R. A.,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Voloshina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A. D.,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Voronina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J. K.,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Sapunova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M. A. One-pot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imination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C74CEF">
              <w:rPr>
                <w:sz w:val="22"/>
                <w:szCs w:val="22"/>
                <w:lang w:val="en-US" w:eastAsia="en-US"/>
              </w:rPr>
              <w:t>Arbuzov</w:t>
            </w:r>
            <w:proofErr w:type="spellEnd"/>
            <w:r w:rsidRPr="00C74CEF">
              <w:rPr>
                <w:sz w:val="22"/>
                <w:szCs w:val="22"/>
                <w:lang w:val="en-US" w:eastAsia="en-US"/>
              </w:rPr>
              <w:t xml:space="preserve"> reaction of 4-aminobutanal derivatives: Synthesis of 2-phosphorylpyrrolidines and evaluation of anticancer activity. </w:t>
            </w:r>
            <w:r w:rsidRPr="00C74CEF">
              <w:rPr>
                <w:i/>
                <w:iCs/>
                <w:sz w:val="22"/>
                <w:szCs w:val="22"/>
                <w:lang w:val="en-US" w:eastAsia="en-US"/>
              </w:rPr>
              <w:t>Tetrahedron</w:t>
            </w:r>
            <w:r w:rsidRPr="00C74CEF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C74CEF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C74CEF">
              <w:rPr>
                <w:sz w:val="22"/>
                <w:szCs w:val="22"/>
                <w:lang w:val="en-US" w:eastAsia="en-US"/>
              </w:rPr>
              <w:t xml:space="preserve">, </w:t>
            </w:r>
            <w:r w:rsidRPr="00C74CEF">
              <w:rPr>
                <w:i/>
                <w:iCs/>
                <w:sz w:val="22"/>
                <w:szCs w:val="22"/>
                <w:lang w:val="en-US" w:eastAsia="en-US"/>
              </w:rPr>
              <w:t>76 (33)</w:t>
            </w:r>
            <w:r w:rsidRPr="00C74CEF">
              <w:rPr>
                <w:sz w:val="22"/>
                <w:szCs w:val="22"/>
                <w:lang w:val="en-US" w:eastAsia="en-US"/>
              </w:rPr>
              <w:t>, 131369.</w:t>
            </w:r>
          </w:p>
          <w:p w14:paraId="52B96915" w14:textId="77777777" w:rsidR="00F90CA1" w:rsidRDefault="00F90CA1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F90CA1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F90CA1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F90CA1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F90CA1">
              <w:rPr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F90CA1">
              <w:rPr>
                <w:sz w:val="22"/>
                <w:szCs w:val="22"/>
                <w:lang w:val="en-US" w:eastAsia="en-US"/>
              </w:rPr>
              <w:t>Turmanov</w:t>
            </w:r>
            <w:proofErr w:type="spellEnd"/>
            <w:r w:rsidRPr="00F90CA1">
              <w:rPr>
                <w:sz w:val="22"/>
                <w:szCs w:val="22"/>
                <w:lang w:val="en-US" w:eastAsia="en-US"/>
              </w:rPr>
              <w:t xml:space="preserve"> R.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F90CA1">
              <w:rPr>
                <w:sz w:val="22"/>
                <w:szCs w:val="22"/>
                <w:lang w:val="en-US" w:eastAsia="en-US"/>
              </w:rPr>
              <w:t xml:space="preserve">A., </w:t>
            </w:r>
            <w:proofErr w:type="spellStart"/>
            <w:r w:rsidRPr="00F90CA1">
              <w:rPr>
                <w:sz w:val="22"/>
                <w:szCs w:val="22"/>
                <w:lang w:val="en-US" w:eastAsia="en-US"/>
              </w:rPr>
              <w:t>Abdullaeva</w:t>
            </w:r>
            <w:proofErr w:type="spellEnd"/>
            <w:r w:rsidRPr="00F90CA1">
              <w:rPr>
                <w:sz w:val="22"/>
                <w:szCs w:val="22"/>
                <w:lang w:val="en-US" w:eastAsia="en-US"/>
              </w:rPr>
              <w:t xml:space="preserve"> D. S., </w:t>
            </w:r>
            <w:proofErr w:type="spellStart"/>
            <w:r w:rsidRPr="00F90CA1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F90CA1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F90CA1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F90CA1">
              <w:rPr>
                <w:sz w:val="22"/>
                <w:szCs w:val="22"/>
                <w:lang w:val="en-US" w:eastAsia="en-US"/>
              </w:rPr>
              <w:t xml:space="preserve"> M.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F90CA1">
              <w:rPr>
                <w:sz w:val="22"/>
                <w:szCs w:val="22"/>
                <w:lang w:val="en-US" w:eastAsia="en-US"/>
              </w:rPr>
              <w:t xml:space="preserve">A. N-Phosphorylated </w:t>
            </w:r>
            <w:proofErr w:type="spellStart"/>
            <w:r w:rsidRPr="00F90CA1">
              <w:rPr>
                <w:sz w:val="22"/>
                <w:szCs w:val="22"/>
                <w:lang w:val="en-US" w:eastAsia="en-US"/>
              </w:rPr>
              <w:t>Pyrrolidines</w:t>
            </w:r>
            <w:proofErr w:type="spellEnd"/>
            <w:r w:rsidRPr="00F90CA1">
              <w:rPr>
                <w:sz w:val="22"/>
                <w:szCs w:val="22"/>
                <w:lang w:val="en-US" w:eastAsia="en-US"/>
              </w:rPr>
              <w:t xml:space="preserve">: An Overview of Synthetic Approaches. </w:t>
            </w:r>
            <w:r w:rsidRPr="00F90CA1">
              <w:rPr>
                <w:i/>
                <w:iCs/>
                <w:sz w:val="22"/>
                <w:szCs w:val="22"/>
                <w:lang w:val="en-US" w:eastAsia="en-US"/>
              </w:rPr>
              <w:t>Synthesis (Germany)</w:t>
            </w:r>
            <w:r w:rsidRPr="00F90CA1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F90CA1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F90CA1">
              <w:rPr>
                <w:sz w:val="22"/>
                <w:szCs w:val="22"/>
                <w:lang w:val="en-US" w:eastAsia="en-US"/>
              </w:rPr>
              <w:t xml:space="preserve">, </w:t>
            </w:r>
            <w:r w:rsidRPr="00F90CA1">
              <w:rPr>
                <w:i/>
                <w:iCs/>
                <w:sz w:val="22"/>
                <w:szCs w:val="22"/>
                <w:lang w:val="en-US" w:eastAsia="en-US"/>
              </w:rPr>
              <w:t>52 (15)</w:t>
            </w:r>
            <w:r w:rsidRPr="00F90CA1">
              <w:rPr>
                <w:sz w:val="22"/>
                <w:szCs w:val="22"/>
                <w:lang w:val="en-US" w:eastAsia="en-US"/>
              </w:rPr>
              <w:t>, 2162–2170.</w:t>
            </w:r>
          </w:p>
          <w:p w14:paraId="3D5EDC70" w14:textId="77777777" w:rsidR="001C1E9E" w:rsidRDefault="001C1E9E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1C1E9E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Turmanov</w:t>
            </w:r>
            <w:proofErr w:type="spellEnd"/>
            <w:r w:rsidRPr="001C1E9E">
              <w:rPr>
                <w:sz w:val="22"/>
                <w:szCs w:val="22"/>
                <w:lang w:val="en-US" w:eastAsia="en-US"/>
              </w:rPr>
              <w:t xml:space="preserve"> R. A., 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1C1E9E">
              <w:rPr>
                <w:sz w:val="22"/>
                <w:szCs w:val="22"/>
                <w:lang w:val="en-US" w:eastAsia="en-US"/>
              </w:rPr>
              <w:t xml:space="preserve"> A. S., Kuznetsova E. A., 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1C1E9E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1C1E9E">
              <w:rPr>
                <w:sz w:val="22"/>
                <w:szCs w:val="22"/>
                <w:lang w:val="en-US" w:eastAsia="en-US"/>
              </w:rPr>
              <w:t xml:space="preserve"> M.A. Reaction of N-(4,4-Diethoxybutyl)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phosphamides</w:t>
            </w:r>
            <w:proofErr w:type="spellEnd"/>
            <w:r w:rsidRPr="001C1E9E">
              <w:rPr>
                <w:sz w:val="22"/>
                <w:szCs w:val="22"/>
                <w:lang w:val="en-US" w:eastAsia="en-US"/>
              </w:rPr>
              <w:t xml:space="preserve"> with 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Chloro</w:t>
            </w:r>
            <w:proofErr w:type="spellEnd"/>
            <w:r w:rsidRPr="001C1E9E">
              <w:rPr>
                <w:sz w:val="22"/>
                <w:szCs w:val="22"/>
                <w:lang w:val="en-US" w:eastAsia="en-US"/>
              </w:rPr>
              <w:t>(diphenyl)phosphine. Synthesis of 2-(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Diphenylphosphoryl</w:t>
            </w:r>
            <w:proofErr w:type="spellEnd"/>
            <w:proofErr w:type="gramStart"/>
            <w:r w:rsidRPr="001C1E9E">
              <w:rPr>
                <w:sz w:val="22"/>
                <w:szCs w:val="22"/>
                <w:lang w:val="en-US" w:eastAsia="en-US"/>
              </w:rPr>
              <w:t>)</w:t>
            </w:r>
            <w:proofErr w:type="spellStart"/>
            <w:r w:rsidRPr="001C1E9E">
              <w:rPr>
                <w:sz w:val="22"/>
                <w:szCs w:val="22"/>
                <w:lang w:val="en-US" w:eastAsia="en-US"/>
              </w:rPr>
              <w:t>pyrrolidines</w:t>
            </w:r>
            <w:proofErr w:type="spellEnd"/>
            <w:proofErr w:type="gramEnd"/>
            <w:r w:rsidRPr="001C1E9E">
              <w:rPr>
                <w:sz w:val="22"/>
                <w:szCs w:val="22"/>
                <w:lang w:val="en-US" w:eastAsia="en-US"/>
              </w:rPr>
              <w:t xml:space="preserve">. </w:t>
            </w:r>
            <w:r w:rsidRPr="001C1E9E">
              <w:rPr>
                <w:i/>
                <w:iCs/>
                <w:sz w:val="22"/>
                <w:szCs w:val="22"/>
                <w:lang w:val="en-US" w:eastAsia="en-US"/>
              </w:rPr>
              <w:t>Russian Journal of Organic Chemistry</w:t>
            </w:r>
            <w:r w:rsidRPr="001C1E9E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1C1E9E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1C1E9E">
              <w:rPr>
                <w:sz w:val="22"/>
                <w:szCs w:val="22"/>
                <w:lang w:val="en-US" w:eastAsia="en-US"/>
              </w:rPr>
              <w:t xml:space="preserve">, </w:t>
            </w:r>
            <w:r w:rsidRPr="001C1E9E">
              <w:rPr>
                <w:i/>
                <w:iCs/>
                <w:sz w:val="22"/>
                <w:szCs w:val="22"/>
                <w:lang w:val="en-US" w:eastAsia="en-US"/>
              </w:rPr>
              <w:t>56 (6)</w:t>
            </w:r>
            <w:r w:rsidRPr="001C1E9E">
              <w:rPr>
                <w:sz w:val="22"/>
                <w:szCs w:val="22"/>
                <w:lang w:val="en-US" w:eastAsia="en-US"/>
              </w:rPr>
              <w:t>, 1119–1121.</w:t>
            </w:r>
          </w:p>
          <w:p w14:paraId="42176BFB" w14:textId="77777777" w:rsidR="00170626" w:rsidRDefault="00170626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Melyashova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 A. S., Kuznetsova E. A., </w:t>
            </w: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 M. A. Reaction of 3-(</w:t>
            </w: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Arylmethylidene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)-1-pyrrolines with Acetone. Synthesis of </w:t>
            </w: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Norhygrine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0626">
              <w:rPr>
                <w:sz w:val="22"/>
                <w:szCs w:val="22"/>
                <w:lang w:val="en-US" w:eastAsia="en-US"/>
              </w:rPr>
              <w:t>Derivativesm</w:t>
            </w:r>
            <w:proofErr w:type="spellEnd"/>
            <w:r w:rsidRPr="00170626">
              <w:rPr>
                <w:sz w:val="22"/>
                <w:szCs w:val="22"/>
                <w:lang w:val="en-US" w:eastAsia="en-US"/>
              </w:rPr>
              <w:t xml:space="preserve">. </w:t>
            </w:r>
            <w:r w:rsidRPr="000C3DBE">
              <w:rPr>
                <w:i/>
                <w:iCs/>
                <w:sz w:val="22"/>
                <w:szCs w:val="22"/>
                <w:lang w:val="en-US" w:eastAsia="en-US"/>
              </w:rPr>
              <w:t>Russian Journal of Organic Chemistry</w:t>
            </w:r>
            <w:r w:rsidRPr="00170626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0C3DBE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170626">
              <w:rPr>
                <w:sz w:val="22"/>
                <w:szCs w:val="22"/>
                <w:lang w:val="en-US" w:eastAsia="en-US"/>
              </w:rPr>
              <w:t xml:space="preserve">, </w:t>
            </w:r>
            <w:r w:rsidRPr="000C3DBE">
              <w:rPr>
                <w:i/>
                <w:iCs/>
                <w:sz w:val="22"/>
                <w:szCs w:val="22"/>
                <w:lang w:val="en-US" w:eastAsia="en-US"/>
              </w:rPr>
              <w:t>56 (6)</w:t>
            </w:r>
            <w:r w:rsidRPr="00170626">
              <w:rPr>
                <w:sz w:val="22"/>
                <w:szCs w:val="22"/>
                <w:lang w:val="en-US" w:eastAsia="en-US"/>
              </w:rPr>
              <w:t>, 1115–1118.</w:t>
            </w:r>
          </w:p>
          <w:p w14:paraId="6B16931F" w14:textId="77777777" w:rsidR="000C3DBE" w:rsidRDefault="000C3DBE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Vagapova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L. I.,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A. S.,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Voronina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J. K., Litvinov I. A.,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Mahrous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E. M.,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Virieux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D.,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Pirat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J.-L.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0C3DBE">
              <w:rPr>
                <w:sz w:val="22"/>
                <w:szCs w:val="22"/>
                <w:lang w:val="en-US" w:eastAsia="en-US"/>
              </w:rPr>
              <w:t xml:space="preserve">С.,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Matylitskii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K. V., 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M. A. One-Pot Synthesis of N-(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Phosphorylmethyl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>)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Pyrrolidines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 via Acid-Catalyzed Cascade Elimination/Cyclization/</w:t>
            </w:r>
            <w:proofErr w:type="spellStart"/>
            <w:r w:rsidRPr="000C3DBE">
              <w:rPr>
                <w:sz w:val="22"/>
                <w:szCs w:val="22"/>
                <w:lang w:val="en-US" w:eastAsia="en-US"/>
              </w:rPr>
              <w:t>Friedel</w:t>
            </w:r>
            <w:proofErr w:type="spellEnd"/>
            <w:r w:rsidRPr="000C3DBE">
              <w:rPr>
                <w:sz w:val="22"/>
                <w:szCs w:val="22"/>
                <w:lang w:val="en-US" w:eastAsia="en-US"/>
              </w:rPr>
              <w:t xml:space="preserve">–Crafts Reaction. </w:t>
            </w:r>
            <w:r w:rsidRPr="000C3DBE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0C3DBE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0C3DBE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0C3DBE">
              <w:rPr>
                <w:sz w:val="22"/>
                <w:szCs w:val="22"/>
                <w:lang w:val="en-US" w:eastAsia="en-US"/>
              </w:rPr>
              <w:t xml:space="preserve">, </w:t>
            </w:r>
            <w:r w:rsidRPr="000C3DBE">
              <w:rPr>
                <w:i/>
                <w:iCs/>
                <w:sz w:val="22"/>
                <w:szCs w:val="22"/>
                <w:lang w:val="en-US" w:eastAsia="en-US"/>
              </w:rPr>
              <w:t>56 (5)</w:t>
            </w:r>
            <w:r w:rsidRPr="000C3DBE">
              <w:rPr>
                <w:sz w:val="22"/>
                <w:szCs w:val="22"/>
                <w:lang w:val="en-US" w:eastAsia="en-US"/>
              </w:rPr>
              <w:t>, 542–547.</w:t>
            </w:r>
          </w:p>
          <w:p w14:paraId="0764E8C4" w14:textId="68C2824E" w:rsidR="00F70242" w:rsidRDefault="00F70242" w:rsidP="00A679CA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Smolobochkin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Rizbayeva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T. S.,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Gazizov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A.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F70242">
              <w:rPr>
                <w:sz w:val="22"/>
                <w:szCs w:val="22"/>
                <w:lang w:val="en-US" w:eastAsia="en-US"/>
              </w:rPr>
              <w:t xml:space="preserve">S.,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Voronina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J. K.,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Dobrynin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A. B.,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Gildebrant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A. V.,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Strelnik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A. G.,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Sazykin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I. S.,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Burilov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A. R.,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Pudovik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M. A.,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Sazykina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M. A. Acid-Catalyzed Intramolecular 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Imination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 / Nucleophilic Trapping of 4-Aminobutanal Derivatives: One-Pot Access to 2-(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Pyrazolyl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>)</w:t>
            </w:r>
            <w:proofErr w:type="spellStart"/>
            <w:r w:rsidRPr="00F70242">
              <w:rPr>
                <w:sz w:val="22"/>
                <w:szCs w:val="22"/>
                <w:lang w:val="en-US" w:eastAsia="en-US"/>
              </w:rPr>
              <w:t>pyrrolidines</w:t>
            </w:r>
            <w:proofErr w:type="spellEnd"/>
            <w:r w:rsidRPr="00F70242">
              <w:rPr>
                <w:sz w:val="22"/>
                <w:szCs w:val="22"/>
                <w:lang w:val="en-US" w:eastAsia="en-US"/>
              </w:rPr>
              <w:t xml:space="preserve">. </w:t>
            </w:r>
            <w:r w:rsidRPr="00F70242">
              <w:rPr>
                <w:i/>
                <w:iCs/>
                <w:sz w:val="22"/>
                <w:szCs w:val="22"/>
                <w:lang w:val="en-US" w:eastAsia="en-US"/>
              </w:rPr>
              <w:t>European Journal of Organic Chemistry</w:t>
            </w:r>
            <w:r w:rsidRPr="00F70242">
              <w:rPr>
                <w:sz w:val="22"/>
                <w:szCs w:val="22"/>
                <w:lang w:val="en-US" w:eastAsia="en-US"/>
              </w:rPr>
              <w:t xml:space="preserve">. </w:t>
            </w:r>
            <w:r w:rsidRPr="00F70242">
              <w:rPr>
                <w:b/>
                <w:bCs/>
                <w:sz w:val="22"/>
                <w:szCs w:val="22"/>
                <w:lang w:val="en-US" w:eastAsia="en-US"/>
              </w:rPr>
              <w:t>2019</w:t>
            </w:r>
            <w:r w:rsidRPr="00F70242">
              <w:rPr>
                <w:sz w:val="22"/>
                <w:szCs w:val="22"/>
                <w:lang w:val="en-US" w:eastAsia="en-US"/>
              </w:rPr>
              <w:t xml:space="preserve">, </w:t>
            </w:r>
            <w:r w:rsidRPr="00F70242">
              <w:rPr>
                <w:i/>
                <w:iCs/>
                <w:sz w:val="22"/>
                <w:szCs w:val="22"/>
                <w:lang w:val="en-US" w:eastAsia="en-US"/>
              </w:rPr>
              <w:t>2019 (33)</w:t>
            </w:r>
            <w:r w:rsidRPr="00F70242">
              <w:rPr>
                <w:sz w:val="22"/>
                <w:szCs w:val="22"/>
                <w:lang w:val="en-US" w:eastAsia="en-US"/>
              </w:rPr>
              <w:t>, 5709–5719.</w:t>
            </w:r>
          </w:p>
        </w:tc>
      </w:tr>
    </w:tbl>
    <w:p w14:paraId="1C3372AF" w14:textId="41AF346B" w:rsidR="00052B9E" w:rsidRDefault="00052B9E" w:rsidP="00052B9E">
      <w:pPr>
        <w:rPr>
          <w:sz w:val="24"/>
          <w:szCs w:val="24"/>
          <w:lang w:val="en-US"/>
        </w:rPr>
      </w:pPr>
    </w:p>
    <w:p w14:paraId="797ABEFD" w14:textId="74FDF31B" w:rsidR="00F90CA1" w:rsidRDefault="00F90CA1" w:rsidP="00052B9E">
      <w:pPr>
        <w:rPr>
          <w:sz w:val="24"/>
          <w:szCs w:val="24"/>
          <w:lang w:val="en-US"/>
        </w:rPr>
      </w:pPr>
    </w:p>
    <w:p w14:paraId="2A662CE7" w14:textId="48F8D8BE" w:rsidR="001C1E9E" w:rsidRDefault="001C1E9E" w:rsidP="00052B9E">
      <w:pPr>
        <w:rPr>
          <w:sz w:val="24"/>
          <w:szCs w:val="24"/>
          <w:lang w:val="en-US"/>
        </w:rPr>
      </w:pPr>
    </w:p>
    <w:sectPr w:rsidR="001C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C3DBE"/>
    <w:rsid w:val="001478FE"/>
    <w:rsid w:val="00170626"/>
    <w:rsid w:val="001C1E9E"/>
    <w:rsid w:val="00345606"/>
    <w:rsid w:val="00393F3A"/>
    <w:rsid w:val="00431D3F"/>
    <w:rsid w:val="006A541B"/>
    <w:rsid w:val="007A3F28"/>
    <w:rsid w:val="00826BFA"/>
    <w:rsid w:val="009347F8"/>
    <w:rsid w:val="009617B2"/>
    <w:rsid w:val="00A00239"/>
    <w:rsid w:val="00B52957"/>
    <w:rsid w:val="00C74CEF"/>
    <w:rsid w:val="00F0368C"/>
    <w:rsid w:val="00F70242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34A"/>
  <w15:chartTrackingRefBased/>
  <w15:docId w15:val="{C9C3E302-8A3D-49EC-8BCF-EE2042AD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2021-11-24T08:09:00Z</dcterms:created>
  <dcterms:modified xsi:type="dcterms:W3CDTF">2021-11-24T08:09:00Z</dcterms:modified>
</cp:coreProperties>
</file>