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DA13F3" w14:textId="77777777" w:rsidR="0002782D" w:rsidRDefault="0002782D" w:rsidP="0002782D">
      <w:pPr>
        <w:jc w:val="center"/>
        <w:rPr>
          <w:b/>
        </w:rPr>
      </w:pPr>
      <w:r w:rsidRPr="00FF2641">
        <w:rPr>
          <w:b/>
        </w:rPr>
        <w:t>СВЕДЕНИЯ</w:t>
      </w:r>
    </w:p>
    <w:p w14:paraId="4E3C2CC4" w14:textId="77777777" w:rsidR="0002782D" w:rsidRDefault="0002782D" w:rsidP="0002782D">
      <w:pPr>
        <w:jc w:val="center"/>
        <w:rPr>
          <w:b/>
        </w:rPr>
      </w:pPr>
      <w:r>
        <w:rPr>
          <w:b/>
        </w:rPr>
        <w:t>об официальном оппоненте</w:t>
      </w:r>
    </w:p>
    <w:p w14:paraId="758E2CB9" w14:textId="77777777" w:rsidR="0002782D" w:rsidRDefault="0002782D" w:rsidP="0002782D">
      <w:pPr>
        <w:jc w:val="center"/>
        <w:rPr>
          <w:b/>
        </w:rPr>
      </w:pPr>
    </w:p>
    <w:tbl>
      <w:tblPr>
        <w:tblW w:w="99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4111"/>
        <w:gridCol w:w="2410"/>
        <w:gridCol w:w="1919"/>
      </w:tblGrid>
      <w:tr w:rsidR="0002782D" w:rsidRPr="00F12458" w14:paraId="186671C7" w14:textId="77777777" w:rsidTr="001500B8">
        <w:tc>
          <w:tcPr>
            <w:tcW w:w="1526" w:type="dxa"/>
            <w:shd w:val="clear" w:color="auto" w:fill="auto"/>
          </w:tcPr>
          <w:p w14:paraId="6A56A705" w14:textId="77777777" w:rsidR="0002782D" w:rsidRPr="00F12458" w:rsidRDefault="0002782D" w:rsidP="001500B8">
            <w:pPr>
              <w:jc w:val="center"/>
              <w:rPr>
                <w:sz w:val="24"/>
                <w:szCs w:val="24"/>
              </w:rPr>
            </w:pPr>
            <w:r w:rsidRPr="00F12458">
              <w:rPr>
                <w:sz w:val="24"/>
                <w:szCs w:val="24"/>
              </w:rPr>
              <w:t>Фамилия, Имя, Отчество (полностью)</w:t>
            </w:r>
          </w:p>
        </w:tc>
        <w:tc>
          <w:tcPr>
            <w:tcW w:w="4111" w:type="dxa"/>
            <w:shd w:val="clear" w:color="auto" w:fill="auto"/>
          </w:tcPr>
          <w:p w14:paraId="195267B9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Место основной работы -</w:t>
            </w:r>
            <w:r>
              <w:rPr>
                <w:sz w:val="24"/>
                <w:szCs w:val="24"/>
              </w:rPr>
              <w:t xml:space="preserve"> </w:t>
            </w:r>
            <w:r w:rsidRPr="00F12458">
              <w:rPr>
                <w:sz w:val="24"/>
                <w:szCs w:val="24"/>
              </w:rPr>
              <w:t>полное наименование организации (с указанием полного почтового адреса, телефона (при наличии), адреса электронной почты (при наличии)), должность, занимаемая им в этой организации (полностью с указанием структурного подразделения)</w:t>
            </w:r>
          </w:p>
        </w:tc>
        <w:tc>
          <w:tcPr>
            <w:tcW w:w="2410" w:type="dxa"/>
            <w:shd w:val="clear" w:color="auto" w:fill="auto"/>
          </w:tcPr>
          <w:p w14:paraId="0961F62F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>Ученая степень (с указанием отрасли наук, шифра и наименования научной специальности, по которой им защищена диссертация</w:t>
            </w:r>
            <w:r w:rsidRPr="006832FB">
              <w:rPr>
                <w:sz w:val="20"/>
              </w:rPr>
              <w:t xml:space="preserve"> </w:t>
            </w:r>
            <w:r w:rsidRPr="003E21F9">
              <w:rPr>
                <w:sz w:val="24"/>
                <w:szCs w:val="24"/>
              </w:rPr>
              <w:t>в соответствии с действующей Номенклатурой специальностей научных работников)</w:t>
            </w:r>
          </w:p>
        </w:tc>
        <w:tc>
          <w:tcPr>
            <w:tcW w:w="1919" w:type="dxa"/>
            <w:shd w:val="clear" w:color="auto" w:fill="auto"/>
          </w:tcPr>
          <w:p w14:paraId="0E2E119D" w14:textId="77777777" w:rsidR="0002782D" w:rsidRPr="00F12458" w:rsidRDefault="0002782D" w:rsidP="001500B8">
            <w:pPr>
              <w:jc w:val="center"/>
              <w:rPr>
                <w:b/>
              </w:rPr>
            </w:pPr>
            <w:r w:rsidRPr="00F12458">
              <w:rPr>
                <w:sz w:val="24"/>
                <w:szCs w:val="24"/>
              </w:rPr>
              <w:t xml:space="preserve">Ученое звание </w:t>
            </w:r>
          </w:p>
        </w:tc>
      </w:tr>
      <w:tr w:rsidR="0002782D" w:rsidRPr="00595391" w14:paraId="172716C1" w14:textId="77777777" w:rsidTr="001500B8">
        <w:tc>
          <w:tcPr>
            <w:tcW w:w="1526" w:type="dxa"/>
            <w:shd w:val="clear" w:color="auto" w:fill="auto"/>
          </w:tcPr>
          <w:p w14:paraId="2D27AC8C" w14:textId="5E845EC6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proofErr w:type="spellStart"/>
            <w:r w:rsidRPr="0002782D">
              <w:rPr>
                <w:sz w:val="24"/>
                <w:szCs w:val="24"/>
              </w:rPr>
              <w:t>Вацадзе</w:t>
            </w:r>
            <w:proofErr w:type="spellEnd"/>
            <w:r w:rsidRPr="0002782D">
              <w:rPr>
                <w:sz w:val="24"/>
                <w:szCs w:val="24"/>
              </w:rPr>
              <w:t xml:space="preserve"> Сергей </w:t>
            </w:r>
            <w:proofErr w:type="spellStart"/>
            <w:r w:rsidRPr="0002782D">
              <w:rPr>
                <w:sz w:val="24"/>
                <w:szCs w:val="24"/>
              </w:rPr>
              <w:t>Зурабович</w:t>
            </w:r>
            <w:proofErr w:type="spellEnd"/>
          </w:p>
        </w:tc>
        <w:tc>
          <w:tcPr>
            <w:tcW w:w="4111" w:type="dxa"/>
            <w:shd w:val="clear" w:color="auto" w:fill="auto"/>
          </w:tcPr>
          <w:p w14:paraId="2E65D6D0" w14:textId="5C7C949B" w:rsid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02782D">
              <w:rPr>
                <w:sz w:val="24"/>
                <w:szCs w:val="24"/>
              </w:rPr>
              <w:t xml:space="preserve">119991, г. Москва, Ленинский проспект, </w:t>
            </w:r>
            <w:r>
              <w:rPr>
                <w:sz w:val="24"/>
                <w:szCs w:val="24"/>
              </w:rPr>
              <w:t>д</w:t>
            </w:r>
            <w:r w:rsidR="00FF52E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</w:t>
            </w:r>
            <w:r w:rsidRPr="0002782D">
              <w:rPr>
                <w:sz w:val="24"/>
                <w:szCs w:val="24"/>
              </w:rPr>
              <w:t>47</w:t>
            </w:r>
            <w:r>
              <w:rPr>
                <w:sz w:val="24"/>
                <w:szCs w:val="24"/>
              </w:rPr>
              <w:t>,</w:t>
            </w:r>
          </w:p>
          <w:p w14:paraId="5288EBC7" w14:textId="77777777" w:rsidR="00F9689C" w:rsidRDefault="0002782D" w:rsidP="001500B8">
            <w:pPr>
              <w:jc w:val="center"/>
              <w:rPr>
                <w:sz w:val="24"/>
                <w:szCs w:val="24"/>
              </w:rPr>
            </w:pPr>
            <w:r w:rsidRPr="0002782D">
              <w:rPr>
                <w:sz w:val="24"/>
                <w:szCs w:val="24"/>
              </w:rPr>
              <w:t>Федеральное государствен</w:t>
            </w:r>
            <w:r w:rsidR="00F9689C">
              <w:rPr>
                <w:sz w:val="24"/>
                <w:szCs w:val="24"/>
              </w:rPr>
              <w:t xml:space="preserve">ное бюджетное учреждение науки </w:t>
            </w:r>
            <w:r w:rsidRPr="0002782D">
              <w:rPr>
                <w:sz w:val="24"/>
                <w:szCs w:val="24"/>
              </w:rPr>
              <w:t>Институт органической химии им. Н.Д. Зел</w:t>
            </w:r>
            <w:r w:rsidR="00F9689C">
              <w:rPr>
                <w:sz w:val="24"/>
                <w:szCs w:val="24"/>
              </w:rPr>
              <w:t>инского Российской академии наук</w:t>
            </w:r>
            <w:r w:rsidR="00BD19A2">
              <w:rPr>
                <w:sz w:val="24"/>
                <w:szCs w:val="24"/>
              </w:rPr>
              <w:t>,</w:t>
            </w:r>
            <w:r w:rsidR="004E16BC" w:rsidRPr="004E16BC">
              <w:rPr>
                <w:sz w:val="24"/>
                <w:szCs w:val="24"/>
              </w:rPr>
              <w:t xml:space="preserve"> </w:t>
            </w:r>
          </w:p>
          <w:p w14:paraId="34770757" w14:textId="707BA57F" w:rsidR="0002782D" w:rsidRPr="00BD19A2" w:rsidRDefault="004E16BC" w:rsidP="001500B8">
            <w:pPr>
              <w:jc w:val="center"/>
              <w:rPr>
                <w:sz w:val="24"/>
                <w:szCs w:val="24"/>
              </w:rPr>
            </w:pPr>
            <w:r>
              <w:rPr>
                <w:rFonts w:eastAsia="Times-Roman"/>
                <w:sz w:val="24"/>
                <w:szCs w:val="24"/>
              </w:rPr>
              <w:t xml:space="preserve">заведующий лабораторией </w:t>
            </w:r>
            <w:proofErr w:type="spellStart"/>
            <w:r>
              <w:rPr>
                <w:rFonts w:eastAsia="Times-Roman"/>
                <w:sz w:val="24"/>
                <w:szCs w:val="24"/>
              </w:rPr>
              <w:t>супрамолекулярной</w:t>
            </w:r>
            <w:proofErr w:type="spellEnd"/>
            <w:r>
              <w:rPr>
                <w:rFonts w:eastAsia="Times-Roman"/>
                <w:sz w:val="24"/>
                <w:szCs w:val="24"/>
              </w:rPr>
              <w:t xml:space="preserve"> химии (№ 2)</w:t>
            </w:r>
          </w:p>
          <w:p w14:paraId="04F1CB78" w14:textId="55EC9049" w:rsidR="0002782D" w:rsidRPr="0002782D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</w:rPr>
              <w:t xml:space="preserve">тел. </w:t>
            </w:r>
            <w:proofErr w:type="spellStart"/>
            <w:r w:rsidRPr="00742851">
              <w:rPr>
                <w:sz w:val="24"/>
                <w:szCs w:val="24"/>
              </w:rPr>
              <w:t>служ</w:t>
            </w:r>
            <w:proofErr w:type="spellEnd"/>
            <w:r w:rsidRPr="00742851">
              <w:rPr>
                <w:sz w:val="24"/>
                <w:szCs w:val="24"/>
              </w:rPr>
              <w:t xml:space="preserve">. </w:t>
            </w:r>
            <w:r w:rsidR="00E16B2D" w:rsidRPr="00E16B2D">
              <w:rPr>
                <w:sz w:val="24"/>
                <w:szCs w:val="24"/>
              </w:rPr>
              <w:t>+7 499 137-29-44</w:t>
            </w:r>
          </w:p>
          <w:p w14:paraId="4B176933" w14:textId="48BD84A1" w:rsidR="0002782D" w:rsidRPr="00E204FE" w:rsidRDefault="0002782D" w:rsidP="001500B8">
            <w:pPr>
              <w:jc w:val="center"/>
              <w:rPr>
                <w:sz w:val="24"/>
                <w:szCs w:val="24"/>
              </w:rPr>
            </w:pPr>
            <w:r w:rsidRPr="00654EAB">
              <w:rPr>
                <w:sz w:val="24"/>
                <w:szCs w:val="24"/>
              </w:rPr>
              <w:t xml:space="preserve">тел. моб. </w:t>
            </w:r>
            <w:r w:rsidRPr="00E204FE">
              <w:rPr>
                <w:sz w:val="24"/>
                <w:szCs w:val="24"/>
              </w:rPr>
              <w:t xml:space="preserve">+7 </w:t>
            </w:r>
            <w:r w:rsidR="00654EAB" w:rsidRPr="00E204FE">
              <w:rPr>
                <w:sz w:val="24"/>
                <w:szCs w:val="24"/>
              </w:rPr>
              <w:t>903</w:t>
            </w:r>
            <w:r w:rsidRPr="00E204FE">
              <w:rPr>
                <w:sz w:val="24"/>
                <w:szCs w:val="24"/>
              </w:rPr>
              <w:t>-</w:t>
            </w:r>
            <w:r w:rsidR="00654EAB" w:rsidRPr="00E204FE">
              <w:rPr>
                <w:sz w:val="24"/>
                <w:szCs w:val="24"/>
              </w:rPr>
              <w:t>748</w:t>
            </w:r>
            <w:r w:rsidRPr="00E204FE">
              <w:rPr>
                <w:sz w:val="24"/>
                <w:szCs w:val="24"/>
              </w:rPr>
              <w:t>-</w:t>
            </w:r>
            <w:r w:rsidR="00654EAB" w:rsidRPr="00E204FE">
              <w:rPr>
                <w:sz w:val="24"/>
                <w:szCs w:val="24"/>
              </w:rPr>
              <w:t>78-92</w:t>
            </w:r>
          </w:p>
          <w:p w14:paraId="5C2BA29E" w14:textId="122C4F31" w:rsidR="0002782D" w:rsidRPr="00E204FE" w:rsidRDefault="0002782D" w:rsidP="001500B8">
            <w:pPr>
              <w:jc w:val="center"/>
              <w:rPr>
                <w:sz w:val="24"/>
                <w:szCs w:val="24"/>
              </w:rPr>
            </w:pPr>
            <w:r w:rsidRPr="00742851">
              <w:rPr>
                <w:sz w:val="24"/>
                <w:szCs w:val="24"/>
                <w:lang w:val="en-US"/>
              </w:rPr>
              <w:t>e</w:t>
            </w:r>
            <w:r w:rsidRPr="00E204FE">
              <w:rPr>
                <w:sz w:val="24"/>
                <w:szCs w:val="24"/>
              </w:rPr>
              <w:t>-</w:t>
            </w:r>
            <w:r w:rsidRPr="00742851">
              <w:rPr>
                <w:sz w:val="24"/>
                <w:szCs w:val="24"/>
                <w:lang w:val="en-US"/>
              </w:rPr>
              <w:t>mail</w:t>
            </w:r>
            <w:r w:rsidRPr="00E204FE">
              <w:rPr>
                <w:sz w:val="24"/>
                <w:szCs w:val="24"/>
              </w:rPr>
              <w:t xml:space="preserve">: </w:t>
            </w:r>
            <w:proofErr w:type="spellStart"/>
            <w:r w:rsidR="00C216DE" w:rsidRPr="00C216DE">
              <w:rPr>
                <w:sz w:val="24"/>
                <w:szCs w:val="24"/>
                <w:lang w:val="en-US"/>
              </w:rPr>
              <w:t>zurabych</w:t>
            </w:r>
            <w:proofErr w:type="spellEnd"/>
            <w:r w:rsidR="00C216DE" w:rsidRPr="00E204FE">
              <w:rPr>
                <w:sz w:val="24"/>
                <w:szCs w:val="24"/>
              </w:rPr>
              <w:t>@</w:t>
            </w:r>
            <w:proofErr w:type="spellStart"/>
            <w:r w:rsidR="00C216DE" w:rsidRPr="00C216DE">
              <w:rPr>
                <w:sz w:val="24"/>
                <w:szCs w:val="24"/>
                <w:lang w:val="en-US"/>
              </w:rPr>
              <w:t>gmail</w:t>
            </w:r>
            <w:proofErr w:type="spellEnd"/>
            <w:r w:rsidR="00C216DE" w:rsidRPr="00E204FE">
              <w:rPr>
                <w:sz w:val="24"/>
                <w:szCs w:val="24"/>
              </w:rPr>
              <w:t>.</w:t>
            </w:r>
            <w:r w:rsidR="00C216DE" w:rsidRPr="00C216DE">
              <w:rPr>
                <w:sz w:val="24"/>
                <w:szCs w:val="24"/>
                <w:lang w:val="en-US"/>
              </w:rPr>
              <w:t>com</w:t>
            </w:r>
          </w:p>
        </w:tc>
        <w:tc>
          <w:tcPr>
            <w:tcW w:w="2410" w:type="dxa"/>
            <w:shd w:val="clear" w:color="auto" w:fill="auto"/>
          </w:tcPr>
          <w:p w14:paraId="110A601E" w14:textId="77777777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r w:rsidRPr="00595391">
              <w:rPr>
                <w:sz w:val="24"/>
                <w:szCs w:val="24"/>
              </w:rPr>
              <w:t>Доктор химических наук,</w:t>
            </w:r>
          </w:p>
          <w:p w14:paraId="561614C5" w14:textId="6F1DBBAC" w:rsidR="0002782D" w:rsidRPr="00595391" w:rsidRDefault="0002782D" w:rsidP="001500B8">
            <w:pPr>
              <w:jc w:val="center"/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1.4.3.</w:t>
            </w:r>
            <w:r w:rsidRPr="00595391">
              <w:rPr>
                <w:sz w:val="24"/>
                <w:szCs w:val="24"/>
              </w:rPr>
              <w:t xml:space="preserve"> </w:t>
            </w:r>
            <w:r w:rsidR="00F9689C" w:rsidRPr="00595391">
              <w:rPr>
                <w:sz w:val="24"/>
                <w:szCs w:val="24"/>
              </w:rPr>
              <w:t xml:space="preserve">Органическая </w:t>
            </w:r>
            <w:r w:rsidRPr="00595391">
              <w:rPr>
                <w:sz w:val="24"/>
                <w:szCs w:val="24"/>
              </w:rPr>
              <w:t>химия</w:t>
            </w:r>
            <w:bookmarkEnd w:id="0"/>
          </w:p>
        </w:tc>
        <w:tc>
          <w:tcPr>
            <w:tcW w:w="1919" w:type="dxa"/>
            <w:shd w:val="clear" w:color="auto" w:fill="auto"/>
          </w:tcPr>
          <w:p w14:paraId="2827BA69" w14:textId="5F562977" w:rsidR="0002782D" w:rsidRPr="00595391" w:rsidRDefault="0002782D" w:rsidP="00E204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E204FE">
              <w:rPr>
                <w:sz w:val="24"/>
                <w:szCs w:val="24"/>
              </w:rPr>
              <w:t>рофессор</w:t>
            </w:r>
          </w:p>
        </w:tc>
      </w:tr>
      <w:tr w:rsidR="0002782D" w:rsidRPr="00F12458" w14:paraId="19D8DAE2" w14:textId="77777777" w:rsidTr="001500B8">
        <w:tc>
          <w:tcPr>
            <w:tcW w:w="9966" w:type="dxa"/>
            <w:gridSpan w:val="4"/>
            <w:shd w:val="clear" w:color="auto" w:fill="auto"/>
          </w:tcPr>
          <w:p w14:paraId="51A09DF7" w14:textId="77777777" w:rsidR="0002782D" w:rsidRPr="00F12458" w:rsidRDefault="0002782D" w:rsidP="001500B8">
            <w:pPr>
              <w:ind w:firstLine="709"/>
              <w:rPr>
                <w:b/>
              </w:rPr>
            </w:pPr>
            <w:r w:rsidRPr="00F12458">
              <w:rPr>
                <w:sz w:val="24"/>
                <w:szCs w:val="24"/>
              </w:rPr>
              <w:t>Основные публикации по теме диссертации в рецензируемых научных изданиях за последние 5 лет (не более 15 публикаций):</w:t>
            </w:r>
          </w:p>
        </w:tc>
      </w:tr>
      <w:tr w:rsidR="0002782D" w:rsidRPr="00F12458" w14:paraId="5CD24A81" w14:textId="77777777" w:rsidTr="001500B8">
        <w:tc>
          <w:tcPr>
            <w:tcW w:w="9966" w:type="dxa"/>
            <w:gridSpan w:val="4"/>
            <w:shd w:val="clear" w:color="auto" w:fill="auto"/>
          </w:tcPr>
          <w:p w14:paraId="4637B5FF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C346A">
              <w:rPr>
                <w:sz w:val="22"/>
                <w:szCs w:val="22"/>
                <w:lang w:val="en-US"/>
              </w:rPr>
              <w:t xml:space="preserve">Lin T., Yu H., Wang Y., Wang L.,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S. Z., Liu X., Huang Z., Ren S., Uddin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Md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A., Amin B. U., Fahad S.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Polypyrrole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nanotube/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ferrocene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-modified graphene oxide composites: From fabrication to EMI shielding application. </w:t>
            </w:r>
            <w:r w:rsidRPr="003C346A">
              <w:rPr>
                <w:i/>
                <w:iCs/>
                <w:sz w:val="22"/>
                <w:szCs w:val="22"/>
                <w:lang w:val="en-US"/>
              </w:rPr>
              <w:t xml:space="preserve">Journal of Materials Science, </w:t>
            </w:r>
            <w:r w:rsidRPr="003C346A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3C346A">
              <w:rPr>
                <w:i/>
                <w:iCs/>
                <w:sz w:val="22"/>
                <w:szCs w:val="22"/>
                <w:lang w:val="en-US"/>
              </w:rPr>
              <w:t xml:space="preserve">, 56, </w:t>
            </w:r>
            <w:r w:rsidRPr="003C346A">
              <w:rPr>
                <w:sz w:val="22"/>
                <w:szCs w:val="22"/>
                <w:lang w:val="en-US"/>
              </w:rPr>
              <w:t>18093–18115.</w:t>
            </w:r>
          </w:p>
          <w:p w14:paraId="624DC9FB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C346A">
              <w:rPr>
                <w:sz w:val="22"/>
                <w:szCs w:val="22"/>
                <w:lang w:val="en-US"/>
              </w:rPr>
              <w:t>Medved'ko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Krut'ko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D. P.,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Gaisen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S. V.,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Churakov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Minyaev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M. E.,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Moiseev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A. A.,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Lemenovsky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D. A., Yu H., Wang L.,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Vatsadzea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S. Z. First examples of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bispidine-ferrocene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C346A">
              <w:rPr>
                <w:sz w:val="22"/>
                <w:szCs w:val="22"/>
                <w:lang w:val="en-US"/>
              </w:rPr>
              <w:t>cyclophanes</w:t>
            </w:r>
            <w:proofErr w:type="spellEnd"/>
            <w:r w:rsidRPr="003C346A">
              <w:rPr>
                <w:sz w:val="22"/>
                <w:szCs w:val="22"/>
                <w:lang w:val="en-US"/>
              </w:rPr>
              <w:t xml:space="preserve">. </w:t>
            </w:r>
            <w:r w:rsidRPr="002823CA">
              <w:rPr>
                <w:i/>
                <w:iCs/>
                <w:sz w:val="22"/>
                <w:szCs w:val="22"/>
                <w:lang w:val="en-US"/>
              </w:rPr>
              <w:t>Journal of Organometallic Chemistry</w:t>
            </w:r>
            <w:r w:rsidRPr="003C346A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2823CA">
              <w:rPr>
                <w:b/>
                <w:bCs/>
                <w:sz w:val="22"/>
                <w:szCs w:val="22"/>
                <w:lang w:val="en-US"/>
              </w:rPr>
              <w:t>2021</w:t>
            </w:r>
            <w:proofErr w:type="gramEnd"/>
            <w:r w:rsidRPr="003C346A">
              <w:rPr>
                <w:sz w:val="22"/>
                <w:szCs w:val="22"/>
                <w:lang w:val="en-US"/>
              </w:rPr>
              <w:t xml:space="preserve">, </w:t>
            </w:r>
            <w:r w:rsidRPr="002823CA">
              <w:rPr>
                <w:i/>
                <w:iCs/>
                <w:sz w:val="22"/>
                <w:szCs w:val="22"/>
                <w:lang w:val="en-US"/>
              </w:rPr>
              <w:t>949</w:t>
            </w:r>
            <w:r w:rsidRPr="003C346A">
              <w:rPr>
                <w:sz w:val="22"/>
                <w:szCs w:val="22"/>
                <w:lang w:val="en-US"/>
              </w:rPr>
              <w:t>, 121945.</w:t>
            </w:r>
          </w:p>
          <w:p w14:paraId="5D4A93EC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51A82">
              <w:rPr>
                <w:sz w:val="22"/>
                <w:szCs w:val="22"/>
                <w:lang w:val="en-US"/>
              </w:rPr>
              <w:t>Churakov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Medved’ko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Prikhodchenko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P. V.,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Krut’ko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D. P.,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Vatsadz</w:t>
            </w:r>
            <w:r>
              <w:rPr>
                <w:sz w:val="22"/>
                <w:szCs w:val="22"/>
                <w:lang w:val="en-US"/>
              </w:rPr>
              <w:t>e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S. Z. First example of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peroxosolvate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of iodine-containing organic molecule. </w:t>
            </w:r>
            <w:r w:rsidRPr="00851A82">
              <w:rPr>
                <w:i/>
                <w:iCs/>
                <w:sz w:val="22"/>
                <w:szCs w:val="22"/>
                <w:lang w:val="en-US"/>
              </w:rPr>
              <w:t>Mendeleev Communications</w:t>
            </w:r>
            <w:r w:rsidRPr="00851A8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851A82">
              <w:rPr>
                <w:b/>
                <w:bCs/>
                <w:sz w:val="22"/>
                <w:szCs w:val="22"/>
                <w:lang w:val="en-US"/>
              </w:rPr>
              <w:t>2021</w:t>
            </w:r>
            <w:proofErr w:type="gramEnd"/>
            <w:r w:rsidRPr="00851A82">
              <w:rPr>
                <w:sz w:val="22"/>
                <w:szCs w:val="22"/>
                <w:lang w:val="en-US"/>
              </w:rPr>
              <w:t xml:space="preserve">, </w:t>
            </w:r>
            <w:r w:rsidRPr="00851A82">
              <w:rPr>
                <w:i/>
                <w:iCs/>
                <w:sz w:val="22"/>
                <w:szCs w:val="22"/>
                <w:lang w:val="en-US"/>
              </w:rPr>
              <w:t>31 (3)</w:t>
            </w:r>
            <w:r w:rsidRPr="00851A82">
              <w:rPr>
                <w:sz w:val="22"/>
                <w:szCs w:val="22"/>
                <w:lang w:val="en-US"/>
              </w:rPr>
              <w:t>, 352-355.</w:t>
            </w:r>
          </w:p>
          <w:p w14:paraId="1119BA9A" w14:textId="77777777" w:rsidR="00404156" w:rsidRP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04156">
              <w:rPr>
                <w:sz w:val="22"/>
                <w:szCs w:val="22"/>
                <w:lang w:val="en-US"/>
              </w:rPr>
              <w:t>Antipin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I. S.,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Alfimov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M. V.,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Arslanov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V. V.,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Burilov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V. A.,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Voloshin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Y.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Z.m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Volcho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K. P.,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Gorbatchuk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V. V.,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Gorbunova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Y. G.,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Gromov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S. P.,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Dudkin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S. V., Zaitsev S. Yu. Functional supramolecular systems: Design and applications. </w:t>
            </w:r>
            <w:r w:rsidRPr="00404156">
              <w:rPr>
                <w:i/>
                <w:iCs/>
                <w:sz w:val="22"/>
                <w:szCs w:val="22"/>
                <w:lang w:val="en-US"/>
              </w:rPr>
              <w:t>Russian Chemical Reviews</w:t>
            </w:r>
            <w:r w:rsidRPr="0040415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04156">
              <w:rPr>
                <w:b/>
                <w:bCs/>
                <w:sz w:val="22"/>
                <w:szCs w:val="22"/>
                <w:lang w:val="en-US"/>
              </w:rPr>
              <w:t>2021</w:t>
            </w:r>
            <w:proofErr w:type="gramEnd"/>
            <w:r w:rsidRPr="00404156">
              <w:rPr>
                <w:sz w:val="22"/>
                <w:szCs w:val="22"/>
                <w:lang w:val="en-US"/>
              </w:rPr>
              <w:t xml:space="preserve">, </w:t>
            </w:r>
            <w:r w:rsidRPr="00404156">
              <w:rPr>
                <w:i/>
                <w:iCs/>
                <w:sz w:val="22"/>
                <w:szCs w:val="22"/>
                <w:lang w:val="en-US"/>
              </w:rPr>
              <w:t>90</w:t>
            </w:r>
            <w:r>
              <w:rPr>
                <w:i/>
                <w:iCs/>
                <w:sz w:val="22"/>
                <w:szCs w:val="22"/>
                <w:lang w:val="en-US"/>
              </w:rPr>
              <w:t xml:space="preserve"> </w:t>
            </w:r>
            <w:r w:rsidRPr="00404156">
              <w:rPr>
                <w:i/>
                <w:iCs/>
                <w:sz w:val="22"/>
                <w:szCs w:val="22"/>
                <w:lang w:val="en-US"/>
              </w:rPr>
              <w:t>(8)</w:t>
            </w:r>
            <w:r w:rsidRPr="00404156">
              <w:rPr>
                <w:sz w:val="22"/>
                <w:szCs w:val="22"/>
                <w:lang w:val="en-US"/>
              </w:rPr>
              <w:t>, 895–1107.</w:t>
            </w:r>
          </w:p>
          <w:p w14:paraId="23184EB5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851A82">
              <w:rPr>
                <w:sz w:val="22"/>
                <w:szCs w:val="22"/>
                <w:lang w:val="en-US"/>
              </w:rPr>
              <w:t>Dalinger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A. I.,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Medved’ko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A. V., Kalinin M. A.,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Sereda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V. A.,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Churakov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A.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V.m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851A82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851A82">
              <w:rPr>
                <w:sz w:val="22"/>
                <w:szCs w:val="22"/>
                <w:lang w:val="en-US"/>
              </w:rPr>
              <w:t xml:space="preserve"> S. Z. Synthesis of 2,2,5,7-tetramethyl-1,3-diazaadamantan-6-one and study of the supramolecular structure of its monohydrate. </w:t>
            </w:r>
            <w:r w:rsidRPr="00377C15">
              <w:rPr>
                <w:i/>
                <w:iCs/>
                <w:sz w:val="22"/>
                <w:szCs w:val="22"/>
                <w:lang w:val="en-US"/>
              </w:rPr>
              <w:t>Russian Chemical Bulletin</w:t>
            </w:r>
            <w:r w:rsidRPr="00851A82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851A82">
              <w:rPr>
                <w:b/>
                <w:bCs/>
                <w:sz w:val="22"/>
                <w:szCs w:val="22"/>
                <w:lang w:val="en-US"/>
              </w:rPr>
              <w:t>2021</w:t>
            </w:r>
            <w:proofErr w:type="gramEnd"/>
            <w:r w:rsidRPr="00851A82">
              <w:rPr>
                <w:sz w:val="22"/>
                <w:szCs w:val="22"/>
                <w:lang w:val="en-US"/>
              </w:rPr>
              <w:t xml:space="preserve">, </w:t>
            </w:r>
            <w:r w:rsidRPr="00851A82">
              <w:rPr>
                <w:i/>
                <w:iCs/>
                <w:sz w:val="22"/>
                <w:szCs w:val="22"/>
                <w:lang w:val="en-US"/>
              </w:rPr>
              <w:t>70</w:t>
            </w:r>
            <w:r w:rsidRPr="00851A82">
              <w:rPr>
                <w:sz w:val="22"/>
                <w:szCs w:val="22"/>
                <w:lang w:val="en-US"/>
              </w:rPr>
              <w:t>, 1002–1005.</w:t>
            </w:r>
          </w:p>
          <w:p w14:paraId="76904866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77C15">
              <w:rPr>
                <w:sz w:val="22"/>
                <w:szCs w:val="22"/>
                <w:lang w:val="en-US"/>
              </w:rPr>
              <w:t>Chernyshov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V.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Yarovaya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O. I.,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Borisevich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S. S.,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Trukhan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S. N.,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Gatilov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Y.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Peshkov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R. Yu.,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Eltsov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I.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Martyanov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O. N.,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Salakhutdinov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N. F. Unexpected Ring Opening During </w:t>
            </w:r>
            <w:r w:rsidRPr="00377C15">
              <w:rPr>
                <w:sz w:val="22"/>
                <w:szCs w:val="22"/>
                <w:lang w:val="en-US"/>
              </w:rPr>
              <w:lastRenderedPageBreak/>
              <w:t xml:space="preserve">the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Imination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of Camphor-Type Bicyclic Ketones. European Journal of Organic Chemistry, </w:t>
            </w:r>
            <w:r w:rsidRPr="00377C15">
              <w:rPr>
                <w:b/>
                <w:bCs/>
                <w:sz w:val="22"/>
                <w:szCs w:val="22"/>
                <w:lang w:val="en-US"/>
              </w:rPr>
              <w:t>2021</w:t>
            </w:r>
            <w:r w:rsidRPr="00377C15">
              <w:rPr>
                <w:sz w:val="22"/>
                <w:szCs w:val="22"/>
                <w:lang w:val="en-US"/>
              </w:rPr>
              <w:t xml:space="preserve">, </w:t>
            </w:r>
            <w:r w:rsidRPr="00377C15">
              <w:rPr>
                <w:i/>
                <w:iCs/>
                <w:sz w:val="22"/>
                <w:szCs w:val="22"/>
                <w:lang w:val="en-US"/>
              </w:rPr>
              <w:t>2021 (3)</w:t>
            </w:r>
            <w:r w:rsidRPr="00377C15">
              <w:rPr>
                <w:sz w:val="22"/>
                <w:szCs w:val="22"/>
                <w:lang w:val="en-US"/>
              </w:rPr>
              <w:t>, 452–463.</w:t>
            </w:r>
          </w:p>
          <w:p w14:paraId="1836584F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77C15">
              <w:rPr>
                <w:sz w:val="22"/>
                <w:szCs w:val="22"/>
                <w:lang w:val="en-US"/>
              </w:rPr>
              <w:t>Mozhaitsev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E. S.,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Ponomarev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K. Y.,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Patrusheva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O. S.,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Medvedko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Dalinger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A. I.,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Rogachev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A. D.,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Komarova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N. I.,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Korchagina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D.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Suslov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E. V.,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Volcho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K. P.,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Salakhutdinov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N. F.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S. Z. Conjugates of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Bispidine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377C15">
              <w:rPr>
                <w:sz w:val="22"/>
                <w:szCs w:val="22"/>
                <w:lang w:val="en-US"/>
              </w:rPr>
              <w:t>Monoterpenoids</w:t>
            </w:r>
            <w:proofErr w:type="spellEnd"/>
            <w:r w:rsidRPr="00377C15">
              <w:rPr>
                <w:sz w:val="22"/>
                <w:szCs w:val="22"/>
                <w:lang w:val="en-US"/>
              </w:rPr>
              <w:t xml:space="preserve"> as Ligands of Metal Complex Catalysts for the Henry Reaction. Russian Journal of Organic Chemistry. </w:t>
            </w:r>
            <w:proofErr w:type="gramStart"/>
            <w:r w:rsidRPr="00377C15">
              <w:rPr>
                <w:b/>
                <w:bCs/>
                <w:sz w:val="22"/>
                <w:szCs w:val="22"/>
                <w:lang w:val="en-US"/>
              </w:rPr>
              <w:t>2020</w:t>
            </w:r>
            <w:proofErr w:type="gramEnd"/>
            <w:r w:rsidRPr="00377C15">
              <w:rPr>
                <w:sz w:val="22"/>
                <w:szCs w:val="22"/>
                <w:lang w:val="en-US"/>
              </w:rPr>
              <w:t xml:space="preserve">, </w:t>
            </w:r>
            <w:r w:rsidRPr="00377C15">
              <w:rPr>
                <w:i/>
                <w:iCs/>
                <w:sz w:val="22"/>
                <w:szCs w:val="22"/>
                <w:lang w:val="en-US"/>
              </w:rPr>
              <w:t>56</w:t>
            </w:r>
            <w:r w:rsidRPr="00377C15">
              <w:rPr>
                <w:sz w:val="22"/>
                <w:szCs w:val="22"/>
                <w:lang w:val="en-US"/>
              </w:rPr>
              <w:t>, 1969–1981.</w:t>
            </w:r>
          </w:p>
          <w:p w14:paraId="77E68DDC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235F6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3235F6">
              <w:rPr>
                <w:sz w:val="22"/>
                <w:szCs w:val="22"/>
                <w:lang w:val="en-US"/>
              </w:rPr>
              <w:t>Medved’ko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3235F6">
              <w:rPr>
                <w:sz w:val="22"/>
                <w:szCs w:val="22"/>
                <w:lang w:val="en-US"/>
              </w:rPr>
              <w:t>Bodunov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 A. A., </w:t>
            </w:r>
            <w:proofErr w:type="spellStart"/>
            <w:r w:rsidRPr="003235F6">
              <w:rPr>
                <w:sz w:val="22"/>
                <w:szCs w:val="22"/>
                <w:lang w:val="en-US"/>
              </w:rPr>
              <w:t>Lyssenko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 K. A. </w:t>
            </w:r>
            <w:proofErr w:type="spellStart"/>
            <w:r w:rsidRPr="003235F6">
              <w:rPr>
                <w:sz w:val="22"/>
                <w:szCs w:val="22"/>
                <w:lang w:val="en-US"/>
              </w:rPr>
              <w:t>Bispidine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-based </w:t>
            </w:r>
            <w:proofErr w:type="spellStart"/>
            <w:r w:rsidRPr="003235F6">
              <w:rPr>
                <w:sz w:val="22"/>
                <w:szCs w:val="22"/>
                <w:lang w:val="en-US"/>
              </w:rPr>
              <w:t>bis</w:t>
            </w:r>
            <w:proofErr w:type="spellEnd"/>
            <w:r w:rsidRPr="003235F6">
              <w:rPr>
                <w:sz w:val="22"/>
                <w:szCs w:val="22"/>
                <w:lang w:val="en-US"/>
              </w:rPr>
              <w:t xml:space="preserve">-azoles as a new family of supramolecular receptors: the theoretical approach. </w:t>
            </w:r>
            <w:r w:rsidRPr="003235F6">
              <w:rPr>
                <w:i/>
                <w:iCs/>
                <w:sz w:val="22"/>
                <w:szCs w:val="22"/>
                <w:lang w:val="en-US"/>
              </w:rPr>
              <w:t>Mendeleev Communications</w:t>
            </w:r>
            <w:r w:rsidRPr="003235F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3235F6">
              <w:rPr>
                <w:b/>
                <w:bCs/>
                <w:sz w:val="22"/>
                <w:szCs w:val="22"/>
                <w:lang w:val="en-US"/>
              </w:rPr>
              <w:t>2020</w:t>
            </w:r>
            <w:proofErr w:type="gramEnd"/>
            <w:r w:rsidRPr="003235F6">
              <w:rPr>
                <w:sz w:val="22"/>
                <w:szCs w:val="22"/>
                <w:lang w:val="en-US"/>
              </w:rPr>
              <w:t xml:space="preserve">, </w:t>
            </w:r>
            <w:r w:rsidRPr="003235F6">
              <w:rPr>
                <w:i/>
                <w:iCs/>
                <w:sz w:val="22"/>
                <w:szCs w:val="22"/>
                <w:lang w:val="en-US"/>
              </w:rPr>
              <w:t>30 (3)</w:t>
            </w:r>
            <w:r w:rsidRPr="003235F6">
              <w:rPr>
                <w:sz w:val="22"/>
                <w:szCs w:val="22"/>
                <w:lang w:val="en-US"/>
              </w:rPr>
              <w:t>, 344-346.</w:t>
            </w:r>
          </w:p>
          <w:p w14:paraId="62DD35D8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B44CE0">
              <w:rPr>
                <w:sz w:val="22"/>
                <w:szCs w:val="22"/>
                <w:lang w:val="en-US"/>
              </w:rPr>
              <w:t>Dalinger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A. I.,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Medved’ko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Balalaeva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A. I.,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I. А.,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Dalinger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I. L.,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S. Z. Synthesis of Novel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Azides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and </w:t>
            </w:r>
            <w:proofErr w:type="spellStart"/>
            <w:r w:rsidRPr="00B44CE0">
              <w:rPr>
                <w:sz w:val="22"/>
                <w:szCs w:val="22"/>
                <w:lang w:val="en-US"/>
              </w:rPr>
              <w:t>Triazoles</w:t>
            </w:r>
            <w:proofErr w:type="spellEnd"/>
            <w:r w:rsidRPr="00B44CE0">
              <w:rPr>
                <w:sz w:val="22"/>
                <w:szCs w:val="22"/>
                <w:lang w:val="en-US"/>
              </w:rPr>
              <w:t xml:space="preserve"> on the Basis of 1H-Pyrazole-3(5)-Carboxylic Acids. </w:t>
            </w:r>
            <w:r w:rsidRPr="00B44CE0">
              <w:rPr>
                <w:i/>
                <w:iCs/>
                <w:sz w:val="22"/>
                <w:szCs w:val="22"/>
                <w:lang w:val="en-US"/>
              </w:rPr>
              <w:t>Chemistry of Heterocyclic Compounds</w:t>
            </w:r>
            <w:r>
              <w:rPr>
                <w:sz w:val="22"/>
                <w:szCs w:val="22"/>
                <w:lang w:val="en-US"/>
              </w:rPr>
              <w:t>.</w:t>
            </w:r>
            <w:r w:rsidRPr="00B44CE0">
              <w:rPr>
                <w:sz w:val="22"/>
                <w:szCs w:val="22"/>
                <w:lang w:val="en-US"/>
              </w:rPr>
              <w:t xml:space="preserve"> </w:t>
            </w:r>
            <w:proofErr w:type="gramStart"/>
            <w:r w:rsidRPr="00B44CE0">
              <w:rPr>
                <w:b/>
                <w:bCs/>
                <w:sz w:val="22"/>
                <w:szCs w:val="22"/>
                <w:lang w:val="en-US"/>
              </w:rPr>
              <w:t>2020</w:t>
            </w:r>
            <w:proofErr w:type="gramEnd"/>
            <w:r w:rsidRPr="00B44CE0">
              <w:rPr>
                <w:sz w:val="22"/>
                <w:szCs w:val="22"/>
                <w:lang w:val="en-US"/>
              </w:rPr>
              <w:t xml:space="preserve">, </w:t>
            </w:r>
            <w:r w:rsidRPr="00B44CE0">
              <w:rPr>
                <w:i/>
                <w:iCs/>
                <w:sz w:val="22"/>
                <w:szCs w:val="22"/>
                <w:lang w:val="en-US"/>
              </w:rPr>
              <w:t>56(2)</w:t>
            </w:r>
            <w:r w:rsidRPr="00B44CE0">
              <w:rPr>
                <w:sz w:val="22"/>
                <w:szCs w:val="22"/>
                <w:lang w:val="en-US"/>
              </w:rPr>
              <w:t>, 180–191.</w:t>
            </w:r>
          </w:p>
          <w:p w14:paraId="5B67824C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016355">
              <w:rPr>
                <w:sz w:val="22"/>
                <w:szCs w:val="22"/>
                <w:lang w:val="en-US"/>
              </w:rPr>
              <w:t xml:space="preserve">Liu, J., Yu, H., Wang, L., Deng, Z., </w:t>
            </w:r>
            <w:proofErr w:type="spellStart"/>
            <w:r w:rsidRPr="00016355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016355">
              <w:rPr>
                <w:sz w:val="22"/>
                <w:szCs w:val="22"/>
                <w:lang w:val="en-US"/>
              </w:rPr>
              <w:t xml:space="preserve">, S. Z. In-situ preparation of palladium nanoparticles loaded ferrocene-based metal-organic framework and its application in oxidation of benzyl alcohol. </w:t>
            </w:r>
            <w:r w:rsidRPr="00016355">
              <w:rPr>
                <w:i/>
                <w:iCs/>
                <w:sz w:val="22"/>
                <w:szCs w:val="22"/>
                <w:lang w:val="en-US"/>
              </w:rPr>
              <w:t>Journal of Molecular Structure</w:t>
            </w:r>
            <w:r>
              <w:rPr>
                <w:sz w:val="22"/>
                <w:szCs w:val="22"/>
                <w:lang w:val="en-US"/>
              </w:rPr>
              <w:t>.</w:t>
            </w:r>
            <w:r w:rsidRPr="00016355">
              <w:rPr>
                <w:sz w:val="22"/>
                <w:szCs w:val="22"/>
                <w:lang w:val="en-US"/>
              </w:rPr>
              <w:t xml:space="preserve"> </w:t>
            </w:r>
            <w:r w:rsidRPr="00016355">
              <w:rPr>
                <w:b/>
                <w:bCs/>
                <w:sz w:val="22"/>
                <w:szCs w:val="22"/>
                <w:lang w:val="en-US"/>
              </w:rPr>
              <w:t>2019</w:t>
            </w:r>
            <w:r w:rsidRPr="00016355">
              <w:rPr>
                <w:sz w:val="22"/>
                <w:szCs w:val="22"/>
                <w:lang w:val="en-US"/>
              </w:rPr>
              <w:t xml:space="preserve">, </w:t>
            </w:r>
            <w:r w:rsidRPr="00016355">
              <w:rPr>
                <w:i/>
                <w:iCs/>
                <w:sz w:val="22"/>
                <w:szCs w:val="22"/>
                <w:lang w:val="en-US"/>
              </w:rPr>
              <w:t>1198</w:t>
            </w:r>
            <w:r w:rsidRPr="00016355">
              <w:rPr>
                <w:sz w:val="22"/>
                <w:szCs w:val="22"/>
                <w:lang w:val="en-US"/>
              </w:rPr>
              <w:t>, 126895</w:t>
            </w:r>
            <w:r>
              <w:rPr>
                <w:sz w:val="22"/>
                <w:szCs w:val="22"/>
                <w:lang w:val="en-US"/>
              </w:rPr>
              <w:t>.</w:t>
            </w:r>
          </w:p>
          <w:p w14:paraId="2CFE8DDA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r w:rsidRPr="00310398">
              <w:rPr>
                <w:sz w:val="22"/>
                <w:szCs w:val="22"/>
                <w:lang w:val="en-US"/>
              </w:rPr>
              <w:t xml:space="preserve">Gomes, G. P.,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Loginova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, Y.,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, S. Z.,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Alabugin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, I. V.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Isonitriles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as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Stereoelectronic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Chameleons: The Donor-Acceptor Dichotomy in Radical Additions.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Journal of the American Chemical Society</w:t>
            </w:r>
            <w:r w:rsidRPr="00310398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310398">
              <w:rPr>
                <w:b/>
                <w:bCs/>
                <w:sz w:val="22"/>
                <w:szCs w:val="22"/>
                <w:lang w:val="en-US"/>
              </w:rPr>
              <w:t>2018</w:t>
            </w:r>
            <w:proofErr w:type="gramEnd"/>
            <w:r w:rsidRPr="00310398">
              <w:rPr>
                <w:sz w:val="22"/>
                <w:szCs w:val="22"/>
                <w:lang w:val="en-US"/>
              </w:rPr>
              <w:t xml:space="preserve">,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140 (43)</w:t>
            </w:r>
            <w:r w:rsidRPr="00310398">
              <w:rPr>
                <w:sz w:val="22"/>
                <w:szCs w:val="22"/>
                <w:lang w:val="en-US"/>
              </w:rPr>
              <w:t>, 14272–14288.</w:t>
            </w:r>
          </w:p>
          <w:p w14:paraId="3C94C1C8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10398">
              <w:rPr>
                <w:sz w:val="22"/>
                <w:szCs w:val="22"/>
                <w:lang w:val="en-US"/>
              </w:rPr>
              <w:t>Nuriev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V. N.,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Fedorov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O. V.,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Moiseeva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A. A.,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Freidzon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A.Y.,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Kurchavov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N.A.,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Vedernikov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A.I.,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Medved’ko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A.V.,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Pod’yacheva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E.S.,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S.Z.,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Gromov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S.P. Synthesis, structure, spectral properties, and electrochemistry of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bis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(crown ether) containing 1,3-distyrylbenzenes.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Russian Journal of Organic Chemistry</w:t>
            </w:r>
            <w:r w:rsidRPr="00310398">
              <w:rPr>
                <w:sz w:val="22"/>
                <w:szCs w:val="22"/>
                <w:lang w:val="en-US"/>
              </w:rPr>
              <w:t xml:space="preserve">. </w:t>
            </w:r>
            <w:r w:rsidRPr="00310398">
              <w:rPr>
                <w:b/>
                <w:bCs/>
                <w:sz w:val="22"/>
                <w:szCs w:val="22"/>
                <w:lang w:val="en-US"/>
              </w:rPr>
              <w:t>2017</w:t>
            </w:r>
            <w:r w:rsidRPr="00310398">
              <w:rPr>
                <w:sz w:val="22"/>
                <w:szCs w:val="22"/>
                <w:lang w:val="en-US"/>
              </w:rPr>
              <w:t xml:space="preserve">,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53 (11)</w:t>
            </w:r>
            <w:r w:rsidRPr="00310398">
              <w:rPr>
                <w:sz w:val="22"/>
                <w:szCs w:val="22"/>
                <w:lang w:val="en-US"/>
              </w:rPr>
              <w:t>, 1726–1737.</w:t>
            </w:r>
            <w:r>
              <w:rPr>
                <w:sz w:val="22"/>
                <w:szCs w:val="22"/>
                <w:lang w:val="en-US"/>
              </w:rPr>
              <w:t>\</w:t>
            </w:r>
          </w:p>
          <w:p w14:paraId="31DAEA7A" w14:textId="77777777" w:rsid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310398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Medved'Ko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A. V.,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Kurzeev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S. A.,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Pokrovskiy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O. I.,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Parenago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O. O.,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Kostenko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M. O.,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Ananyev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I. V.,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Lyssenko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K. A.,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Lemenovsky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D. A.,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Kazankov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G. M.,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Lunin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V. V.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Stereocontrol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in Preparation of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Cyclopalladated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Alkylaromatic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Oximes and Evaluation of Their </w:t>
            </w:r>
            <w:proofErr w:type="spellStart"/>
            <w:r w:rsidRPr="00310398">
              <w:rPr>
                <w:sz w:val="22"/>
                <w:szCs w:val="22"/>
                <w:lang w:val="en-US"/>
              </w:rPr>
              <w:t>Stereoselective</w:t>
            </w:r>
            <w:proofErr w:type="spellEnd"/>
            <w:r w:rsidRPr="00310398">
              <w:rPr>
                <w:sz w:val="22"/>
                <w:szCs w:val="22"/>
                <w:lang w:val="en-US"/>
              </w:rPr>
              <w:t xml:space="preserve"> Esterase-Type Catalytic Activity.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Organometallics</w:t>
            </w:r>
            <w:r w:rsidRPr="00310398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310398">
              <w:rPr>
                <w:b/>
                <w:bCs/>
                <w:sz w:val="22"/>
                <w:szCs w:val="22"/>
                <w:lang w:val="en-US"/>
              </w:rPr>
              <w:t>2017</w:t>
            </w:r>
            <w:proofErr w:type="gramEnd"/>
            <w:r w:rsidRPr="00310398">
              <w:rPr>
                <w:sz w:val="22"/>
                <w:szCs w:val="22"/>
                <w:lang w:val="en-US"/>
              </w:rPr>
              <w:t xml:space="preserve">, </w:t>
            </w:r>
            <w:r w:rsidRPr="00310398">
              <w:rPr>
                <w:i/>
                <w:iCs/>
                <w:sz w:val="22"/>
                <w:szCs w:val="22"/>
                <w:lang w:val="en-US"/>
              </w:rPr>
              <w:t>36 (16)</w:t>
            </w:r>
            <w:r w:rsidRPr="00310398">
              <w:rPr>
                <w:sz w:val="22"/>
                <w:szCs w:val="22"/>
                <w:lang w:val="en-US"/>
              </w:rPr>
              <w:t>, 3068–3075.</w:t>
            </w:r>
          </w:p>
          <w:p w14:paraId="36621579" w14:textId="77777777" w:rsidR="00404156" w:rsidRP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04156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Gromov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, S.P. Novel linear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bis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-crown receptors with cross-conjugated and conjugated central cores. </w:t>
            </w:r>
            <w:proofErr w:type="spellStart"/>
            <w:r w:rsidRPr="00404156">
              <w:rPr>
                <w:i/>
                <w:iCs/>
                <w:sz w:val="22"/>
                <w:szCs w:val="22"/>
                <w:lang w:val="en-US"/>
              </w:rPr>
              <w:t>Macroheterocycles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04156">
              <w:rPr>
                <w:b/>
                <w:bCs/>
                <w:sz w:val="22"/>
                <w:szCs w:val="22"/>
                <w:lang w:val="en-US"/>
              </w:rPr>
              <w:t>2017</w:t>
            </w:r>
            <w:proofErr w:type="gramEnd"/>
            <w:r w:rsidRPr="00404156">
              <w:rPr>
                <w:sz w:val="22"/>
                <w:szCs w:val="22"/>
                <w:lang w:val="en-US"/>
              </w:rPr>
              <w:t xml:space="preserve">, </w:t>
            </w:r>
            <w:r w:rsidRPr="00404156">
              <w:rPr>
                <w:i/>
                <w:iCs/>
                <w:sz w:val="22"/>
                <w:szCs w:val="22"/>
                <w:lang w:val="en-US"/>
              </w:rPr>
              <w:t>10 (4-5)</w:t>
            </w:r>
            <w:r w:rsidRPr="00404156">
              <w:rPr>
                <w:sz w:val="22"/>
                <w:szCs w:val="22"/>
                <w:lang w:val="en-US"/>
              </w:rPr>
              <w:t>, 432–445.</w:t>
            </w:r>
          </w:p>
          <w:p w14:paraId="2BB1BDFD" w14:textId="4221D093" w:rsidR="0002782D" w:rsidRPr="00404156" w:rsidRDefault="00404156" w:rsidP="00404156">
            <w:pPr>
              <w:pStyle w:val="a3"/>
              <w:numPr>
                <w:ilvl w:val="0"/>
                <w:numId w:val="2"/>
              </w:numPr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404156">
              <w:rPr>
                <w:sz w:val="22"/>
                <w:szCs w:val="22"/>
                <w:lang w:val="en-US"/>
              </w:rPr>
              <w:t>Vatsadze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S. Z.,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Krut’Ko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D. P., Blake A. J.,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Mountford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P.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Piperazine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-based N4-type 16-membered </w:t>
            </w:r>
            <w:proofErr w:type="spellStart"/>
            <w:r w:rsidRPr="00404156">
              <w:rPr>
                <w:sz w:val="22"/>
                <w:szCs w:val="22"/>
                <w:lang w:val="en-US"/>
              </w:rPr>
              <w:t>macroheterocycles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 and their </w:t>
            </w:r>
            <w:proofErr w:type="gramStart"/>
            <w:r w:rsidRPr="00404156">
              <w:rPr>
                <w:sz w:val="22"/>
                <w:szCs w:val="22"/>
                <w:lang w:val="en-US"/>
              </w:rPr>
              <w:t>Nickel(</w:t>
            </w:r>
            <w:proofErr w:type="gramEnd"/>
            <w:r w:rsidRPr="00404156">
              <w:rPr>
                <w:sz w:val="22"/>
                <w:szCs w:val="22"/>
                <w:lang w:val="en-US"/>
              </w:rPr>
              <w:t xml:space="preserve">II) complexes. </w:t>
            </w:r>
            <w:proofErr w:type="spellStart"/>
            <w:r w:rsidRPr="00404156">
              <w:rPr>
                <w:i/>
                <w:iCs/>
                <w:sz w:val="22"/>
                <w:szCs w:val="22"/>
                <w:lang w:val="en-US"/>
              </w:rPr>
              <w:t>Macroheterocycles</w:t>
            </w:r>
            <w:proofErr w:type="spellEnd"/>
            <w:r w:rsidRPr="00404156">
              <w:rPr>
                <w:sz w:val="22"/>
                <w:szCs w:val="22"/>
                <w:lang w:val="en-US"/>
              </w:rPr>
              <w:t xml:space="preserve">. </w:t>
            </w:r>
            <w:proofErr w:type="gramStart"/>
            <w:r w:rsidRPr="00404156">
              <w:rPr>
                <w:b/>
                <w:bCs/>
                <w:sz w:val="22"/>
                <w:szCs w:val="22"/>
                <w:lang w:val="en-US"/>
              </w:rPr>
              <w:t>2017</w:t>
            </w:r>
            <w:proofErr w:type="gramEnd"/>
            <w:r w:rsidRPr="00404156">
              <w:rPr>
                <w:sz w:val="22"/>
                <w:szCs w:val="22"/>
                <w:lang w:val="en-US"/>
              </w:rPr>
              <w:t xml:space="preserve">, </w:t>
            </w:r>
            <w:r w:rsidRPr="00404156">
              <w:rPr>
                <w:i/>
                <w:iCs/>
                <w:sz w:val="22"/>
                <w:szCs w:val="22"/>
                <w:lang w:val="en-US"/>
              </w:rPr>
              <w:t>10 (1)</w:t>
            </w:r>
            <w:r w:rsidRPr="00404156">
              <w:rPr>
                <w:sz w:val="22"/>
                <w:szCs w:val="22"/>
                <w:lang w:val="en-US"/>
              </w:rPr>
              <w:t>, 98–109.</w:t>
            </w:r>
          </w:p>
        </w:tc>
      </w:tr>
    </w:tbl>
    <w:p w14:paraId="0A812E87" w14:textId="77777777" w:rsidR="0002782D" w:rsidRDefault="0002782D" w:rsidP="00404156">
      <w:pPr>
        <w:rPr>
          <w:sz w:val="24"/>
          <w:szCs w:val="24"/>
        </w:rPr>
      </w:pPr>
    </w:p>
    <w:sectPr w:rsidR="0002782D" w:rsidSect="00574870">
      <w:footerReference w:type="default" r:id="rId7"/>
      <w:pgSz w:w="12240" w:h="15840" w:code="1"/>
      <w:pgMar w:top="1134" w:right="851" w:bottom="1134" w:left="158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78837B" w14:textId="77777777" w:rsidR="00416389" w:rsidRDefault="00416389">
      <w:r>
        <w:separator/>
      </w:r>
    </w:p>
  </w:endnote>
  <w:endnote w:type="continuationSeparator" w:id="0">
    <w:p w14:paraId="7D6FCA41" w14:textId="77777777" w:rsidR="00416389" w:rsidRDefault="004163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-Roman">
    <w:altName w:val="MS Gothic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FA3283" w14:textId="77777777" w:rsidR="006C61D7" w:rsidRDefault="0041638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538981" w14:textId="77777777" w:rsidR="00416389" w:rsidRDefault="00416389">
      <w:r>
        <w:separator/>
      </w:r>
    </w:p>
  </w:footnote>
  <w:footnote w:type="continuationSeparator" w:id="0">
    <w:p w14:paraId="10223B9F" w14:textId="77777777" w:rsidR="00416389" w:rsidRDefault="004163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80576E"/>
    <w:multiLevelType w:val="hybridMultilevel"/>
    <w:tmpl w:val="E27084EC"/>
    <w:lvl w:ilvl="0" w:tplc="16BA35F2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7FE7B75"/>
    <w:multiLevelType w:val="hybridMultilevel"/>
    <w:tmpl w:val="6DD01B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5D3A"/>
    <w:rsid w:val="00016355"/>
    <w:rsid w:val="0002782D"/>
    <w:rsid w:val="00052523"/>
    <w:rsid w:val="0010445D"/>
    <w:rsid w:val="002823CA"/>
    <w:rsid w:val="00295D6C"/>
    <w:rsid w:val="00310398"/>
    <w:rsid w:val="003235F6"/>
    <w:rsid w:val="00377C15"/>
    <w:rsid w:val="003C346A"/>
    <w:rsid w:val="00404156"/>
    <w:rsid w:val="00416389"/>
    <w:rsid w:val="004E16BC"/>
    <w:rsid w:val="00654EAB"/>
    <w:rsid w:val="00851A82"/>
    <w:rsid w:val="008B5F9A"/>
    <w:rsid w:val="00914939"/>
    <w:rsid w:val="00A33E32"/>
    <w:rsid w:val="00B44CE0"/>
    <w:rsid w:val="00BD19A2"/>
    <w:rsid w:val="00C216DE"/>
    <w:rsid w:val="00CE7D60"/>
    <w:rsid w:val="00D85D3A"/>
    <w:rsid w:val="00D97E30"/>
    <w:rsid w:val="00E16B2D"/>
    <w:rsid w:val="00E204FE"/>
    <w:rsid w:val="00F9689C"/>
    <w:rsid w:val="00FF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CE1F5"/>
  <w15:chartTrackingRefBased/>
  <w15:docId w15:val="{C19E238D-26E9-4418-9584-C6D227F0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782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782D"/>
    <w:pPr>
      <w:overflowPunct/>
      <w:autoSpaceDE/>
      <w:autoSpaceDN/>
      <w:adjustRightInd/>
      <w:ind w:left="720"/>
      <w:contextualSpacing/>
      <w:textAlignment w:val="auto"/>
    </w:pPr>
    <w:rPr>
      <w:rFonts w:ascii="Times" w:eastAsia="Times" w:hAnsi="Times"/>
      <w:sz w:val="24"/>
      <w:lang w:val="fr-FR"/>
    </w:rPr>
  </w:style>
  <w:style w:type="paragraph" w:styleId="a4">
    <w:name w:val="footer"/>
    <w:basedOn w:val="a"/>
    <w:link w:val="a5"/>
    <w:uiPriority w:val="99"/>
    <w:rsid w:val="0002782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2782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74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Мазаева Людмила Николаевна</cp:lastModifiedBy>
  <cp:revision>2</cp:revision>
  <dcterms:created xsi:type="dcterms:W3CDTF">2021-11-24T08:06:00Z</dcterms:created>
  <dcterms:modified xsi:type="dcterms:W3CDTF">2021-11-24T08:06:00Z</dcterms:modified>
</cp:coreProperties>
</file>