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CE" w:rsidRDefault="00BB56ED">
      <w:pPr>
        <w:jc w:val="center"/>
        <w:rPr>
          <w:b/>
        </w:rPr>
      </w:pPr>
      <w:r>
        <w:rPr>
          <w:b/>
        </w:rPr>
        <w:t>СВЕДЕНИЯ</w:t>
      </w:r>
    </w:p>
    <w:p w:rsidR="00AF04CE" w:rsidRDefault="00BB56ED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AF04CE" w:rsidRDefault="00AF04CE">
      <w:pPr>
        <w:jc w:val="center"/>
        <w:rPr>
          <w:b/>
        </w:rPr>
      </w:pPr>
    </w:p>
    <w:tbl>
      <w:tblPr>
        <w:tblW w:w="9966" w:type="dxa"/>
        <w:tblLayout w:type="fixed"/>
        <w:tblLook w:val="0000" w:firstRow="0" w:lastRow="0" w:firstColumn="0" w:lastColumn="0" w:noHBand="0" w:noVBand="0"/>
      </w:tblPr>
      <w:tblGrid>
        <w:gridCol w:w="1525"/>
        <w:gridCol w:w="4079"/>
        <w:gridCol w:w="2404"/>
        <w:gridCol w:w="1958"/>
      </w:tblGrid>
      <w:tr w:rsidR="00AF04C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Место основной  работы –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</w:t>
            </w:r>
            <w:r>
              <w:rPr>
                <w:sz w:val="24"/>
                <w:szCs w:val="24"/>
              </w:rPr>
              <w:t xml:space="preserve"> в этой организации  (полностью с указанием структурного подразделения)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действующей Номенклатурой специальностей научн</w:t>
            </w:r>
            <w:r>
              <w:rPr>
                <w:sz w:val="24"/>
                <w:szCs w:val="24"/>
              </w:rPr>
              <w:t>ых работников)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AF04CE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Гутерман</w:t>
            </w:r>
            <w:proofErr w:type="spellEnd"/>
            <w:r>
              <w:rPr>
                <w:szCs w:val="28"/>
              </w:rPr>
              <w:t xml:space="preserve"> Александр </w:t>
            </w:r>
            <w:proofErr w:type="spellStart"/>
            <w:r>
              <w:rPr>
                <w:szCs w:val="28"/>
              </w:rPr>
              <w:t>Эмилевич</w:t>
            </w:r>
            <w:proofErr w:type="spellEnd"/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</w:pPr>
            <w:r>
              <w:t>Университет имени Бар-</w:t>
            </w:r>
            <w:proofErr w:type="spellStart"/>
            <w:r>
              <w:t>Илана</w:t>
            </w:r>
            <w:proofErr w:type="spellEnd"/>
            <w:r>
              <w:t xml:space="preserve">, </w:t>
            </w:r>
          </w:p>
          <w:p w:rsidR="00AF04CE" w:rsidRDefault="00BB5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5290002, </w:t>
            </w:r>
            <w:proofErr w:type="spellStart"/>
            <w:r>
              <w:rPr>
                <w:szCs w:val="28"/>
              </w:rPr>
              <w:t>Рамат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Ган</w:t>
            </w:r>
            <w:proofErr w:type="spellEnd"/>
            <w:r>
              <w:rPr>
                <w:szCs w:val="28"/>
              </w:rPr>
              <w:t xml:space="preserve">, Израиль, </w:t>
            </w:r>
          </w:p>
          <w:p w:rsidR="00AF04CE" w:rsidRPr="00BB56ED" w:rsidRDefault="00BB56ED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Тел</w:t>
            </w:r>
            <w:r w:rsidRPr="00BB56ED">
              <w:rPr>
                <w:szCs w:val="28"/>
                <w:lang w:val="en-US"/>
              </w:rPr>
              <w:t>.: 972 (3) 5318407,</w:t>
            </w:r>
          </w:p>
          <w:p w:rsidR="00AF04CE" w:rsidRDefault="00BB56ED">
            <w:pPr>
              <w:jc w:val="center"/>
              <w:rPr>
                <w:szCs w:val="28"/>
                <w:lang w:val="de-DE"/>
              </w:rPr>
            </w:pPr>
            <w:proofErr w:type="spellStart"/>
            <w:r>
              <w:rPr>
                <w:szCs w:val="28"/>
                <w:lang w:val="de-DE"/>
              </w:rPr>
              <w:t>e-mail</w:t>
            </w:r>
            <w:proofErr w:type="spellEnd"/>
            <w:r>
              <w:rPr>
                <w:szCs w:val="28"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r>
              <w:rPr>
                <w:szCs w:val="28"/>
                <w:lang w:val="de-DE"/>
              </w:rPr>
              <w:t>alexander.guterman@gmail.com</w:t>
            </w:r>
          </w:p>
          <w:p w:rsidR="00AF04CE" w:rsidRDefault="00BB56ED">
            <w:pPr>
              <w:jc w:val="center"/>
              <w:rPr>
                <w:lang w:val="de-DE"/>
              </w:rPr>
            </w:pPr>
            <w:r>
              <w:rPr>
                <w:szCs w:val="28"/>
              </w:rPr>
              <w:t>профессор департамента математики</w:t>
            </w:r>
            <w:r>
              <w:rPr>
                <w:szCs w:val="28"/>
                <w:lang w:val="de-DE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Доктор физико-математических </w:t>
            </w:r>
            <w:r>
              <w:t>наук</w:t>
            </w:r>
          </w:p>
          <w:p w:rsidR="00AF04CE" w:rsidRDefault="00BB56ED">
            <w:pPr>
              <w:jc w:val="center"/>
            </w:pPr>
            <w:r>
              <w:rPr>
                <w:szCs w:val="28"/>
              </w:rPr>
              <w:t>1.1.5</w:t>
            </w:r>
          </w:p>
          <w:p w:rsidR="00AF04CE" w:rsidRDefault="00BB56ED">
            <w:pPr>
              <w:jc w:val="center"/>
            </w:pPr>
            <w:r>
              <w:rPr>
                <w:szCs w:val="28"/>
              </w:rPr>
              <w:t>Ма</w:t>
            </w:r>
            <w:r>
              <w:rPr>
                <w:szCs w:val="28"/>
              </w:rPr>
              <w:t>тематическая логика, алгебра, теория чисел и дискретная математика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jc w:val="center"/>
            </w:pPr>
            <w:r>
              <w:rPr>
                <w:szCs w:val="28"/>
              </w:rPr>
              <w:t>Доцент</w:t>
            </w:r>
          </w:p>
        </w:tc>
      </w:tr>
      <w:tr w:rsidR="00AF04CE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ind w:firstLine="709"/>
              <w:rPr>
                <w:b/>
              </w:rPr>
            </w:pPr>
            <w:r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AF04CE" w:rsidRPr="00BB56ED"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Alpin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Yu.A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AE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Shafeev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ER. Chainable properties of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semigroups of nonnegative matrices, Siberian Electronic Mathematical Reports, 21:2, 2024, 810-822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Shen E,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Spitkovsky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I. On the group of linear preservers of the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Gau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-Wu number, Linear Algebra  Appl., 700, 2024, 1-25 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Arambasich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Kuzma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B,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Rajich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R, Tanaka R,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Zhilina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 Geometric nonlinear classification of Hilbert C*-modules based on strong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Birkhoff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--James orthogonality,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Revista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de la Real Academia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Ciencias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Exactas,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Físicas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Naturales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Serie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Matemáticas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 118:151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2024, 23 p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p.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Zhilina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 On the lengths of Okubo algebras, J. Algebra, 653, 2024, 257-280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Zhilina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S. On the lengths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descendingly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flexible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descendingly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alternative, J. Algebra, 651, 2024, 187-220  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Shteyner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P., Linear oper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ators preserving strong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majorization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of (0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)-matrices,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Linear Algebra Appl.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 2023, 658, 116–150.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Guterman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A. 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Maksaev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A. M.,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Promyslov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V. V., Pairs of maps preserving singularity on subsets of matrix algebras,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lang w:val="en-US"/>
              </w:rPr>
              <w:t>Linear Algebra Appl.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, 2022, 644, 1–27.</w:t>
            </w:r>
          </w:p>
          <w:p w:rsidR="00AF04CE" w:rsidRDefault="00BB56ED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 А.,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Гутерман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 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Шафеев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 Р., Верхняя граница цепного индекса, Записки научных семинаров ПОМИ, 2022, 514, 5-17</w:t>
            </w:r>
          </w:p>
          <w:p w:rsidR="00AF04CE" w:rsidRDefault="00BB56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textAlignment w:val="auto"/>
              <w:rPr>
                <w:color w:val="00000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Cs w:val="28"/>
              </w:rPr>
              <w:t>Гутерман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А.Э</w:t>
            </w:r>
            <w:r>
              <w:rPr>
                <w:color w:val="000000"/>
                <w:szCs w:val="28"/>
              </w:rPr>
              <w:t xml:space="preserve">., Евсеев И.М., Тараненко А.А. Значения функции перманент на многомерных (0, 1)-матрицах // Сибирский математический журнал, 2022, 63:2, 316–333 </w:t>
            </w:r>
          </w:p>
          <w:p w:rsidR="00AF04CE" w:rsidRDefault="00BB56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textAlignment w:val="auto"/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en-US"/>
              </w:rPr>
              <w:t>Guterman</w:t>
            </w:r>
            <w:proofErr w:type="spellEnd"/>
            <w:r>
              <w:rPr>
                <w:b/>
                <w:bCs/>
                <w:color w:val="000000"/>
                <w:szCs w:val="28"/>
                <w:lang w:val="en-US"/>
              </w:rPr>
              <w:t>, A.E.</w:t>
            </w:r>
            <w:r>
              <w:rPr>
                <w:color w:val="000000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szCs w:val="28"/>
                <w:lang w:val="en-US"/>
              </w:rPr>
              <w:t>Khrystik</w:t>
            </w:r>
            <w:proofErr w:type="spellEnd"/>
            <w:r>
              <w:rPr>
                <w:color w:val="000000"/>
                <w:szCs w:val="28"/>
                <w:lang w:val="en-US"/>
              </w:rPr>
              <w:t>, M.A., Markova, O.V. On the lengths of group algebras of finite abelian groups in the</w:t>
            </w:r>
            <w:r>
              <w:rPr>
                <w:color w:val="000000"/>
                <w:szCs w:val="28"/>
                <w:lang w:val="en-US"/>
              </w:rPr>
              <w:t xml:space="preserve"> semi-simple case // Journal of Algebra and its Applications, 2022, </w:t>
            </w:r>
            <w:r>
              <w:rPr>
                <w:color w:val="000000"/>
                <w:szCs w:val="28"/>
                <w:shd w:val="clear" w:color="auto" w:fill="FFFFFF"/>
                <w:lang w:val="en-US"/>
              </w:rPr>
              <w:t>2250140-2250153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</w:p>
          <w:p w:rsidR="00AF04CE" w:rsidRDefault="00BB56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textAlignment w:val="auto"/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en-US"/>
              </w:rPr>
              <w:t>Guterman</w:t>
            </w:r>
            <w:proofErr w:type="spellEnd"/>
            <w:r>
              <w:rPr>
                <w:b/>
                <w:bCs/>
                <w:color w:val="000000"/>
                <w:szCs w:val="28"/>
                <w:lang w:val="en-US"/>
              </w:rPr>
              <w:t>, A.E</w:t>
            </w:r>
            <w:r>
              <w:rPr>
                <w:color w:val="000000"/>
                <w:szCs w:val="28"/>
                <w:lang w:val="en-US"/>
              </w:rPr>
              <w:t xml:space="preserve">., </w:t>
            </w:r>
            <w:proofErr w:type="spellStart"/>
            <w:r>
              <w:rPr>
                <w:color w:val="000000"/>
                <w:szCs w:val="28"/>
                <w:lang w:val="en-US"/>
              </w:rPr>
              <w:t>Khrystik</w:t>
            </w:r>
            <w:proofErr w:type="spellEnd"/>
            <w:r>
              <w:rPr>
                <w:color w:val="000000"/>
                <w:szCs w:val="28"/>
                <w:lang w:val="en-US"/>
              </w:rPr>
              <w:t>, M.A., Markova, O.V. On the lengths of group algebras of finite abelian groups in the modular case // Journal of Algebra and its Applications, 202</w:t>
            </w:r>
            <w:r>
              <w:rPr>
                <w:color w:val="000000"/>
                <w:szCs w:val="28"/>
                <w:lang w:val="en-US"/>
              </w:rPr>
              <w:t xml:space="preserve">2, </w:t>
            </w:r>
            <w:r>
              <w:rPr>
                <w:color w:val="000000"/>
                <w:szCs w:val="28"/>
                <w:shd w:val="clear" w:color="auto" w:fill="FFFFFF"/>
                <w:lang w:val="en-US"/>
              </w:rPr>
              <w:t>2250117-2250130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</w:p>
          <w:p w:rsidR="00AF04CE" w:rsidRDefault="00BB56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textAlignment w:val="auto"/>
              <w:rPr>
                <w:color w:val="000000"/>
                <w:szCs w:val="28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Cs w:val="28"/>
                <w:lang w:val="en-US"/>
              </w:rPr>
              <w:t>Guterman</w:t>
            </w:r>
            <w:proofErr w:type="spellEnd"/>
            <w:r>
              <w:rPr>
                <w:b/>
                <w:bCs/>
                <w:color w:val="000000"/>
                <w:szCs w:val="28"/>
                <w:lang w:val="en-US"/>
              </w:rPr>
              <w:t xml:space="preserve"> A.E</w:t>
            </w:r>
            <w:r>
              <w:rPr>
                <w:color w:val="000000"/>
                <w:szCs w:val="28"/>
                <w:lang w:val="en-US"/>
              </w:rPr>
              <w:t xml:space="preserve">., </w:t>
            </w:r>
            <w:proofErr w:type="spellStart"/>
            <w:r>
              <w:rPr>
                <w:color w:val="000000"/>
                <w:szCs w:val="28"/>
                <w:lang w:val="en-US"/>
              </w:rPr>
              <w:t>Zhilina</w:t>
            </w:r>
            <w:proofErr w:type="spellEnd"/>
            <w:r>
              <w:rPr>
                <w:color w:val="000000"/>
                <w:szCs w:val="28"/>
                <w:lang w:val="en-US"/>
              </w:rPr>
              <w:t xml:space="preserve"> S.A., On the lengths of standard composition algebras // Communications in Algebra, 2022, </w:t>
            </w:r>
            <w:r>
              <w:rPr>
                <w:color w:val="000000"/>
                <w:szCs w:val="28"/>
                <w:shd w:val="clear" w:color="auto" w:fill="FFFFFF"/>
                <w:lang w:val="en-US"/>
              </w:rPr>
              <w:t>50:3, 1092–1105</w:t>
            </w:r>
          </w:p>
          <w:p w:rsidR="00AF04CE" w:rsidRDefault="00BB56ED">
            <w:pPr>
              <w:numPr>
                <w:ilvl w:val="0"/>
                <w:numId w:val="1"/>
              </w:numPr>
              <w:jc w:val="both"/>
              <w:rPr>
                <w:spacing w:val="-6"/>
                <w:szCs w:val="28"/>
                <w:lang w:val="en-US"/>
              </w:rPr>
            </w:pPr>
            <w:hyperlink r:id="rId5">
              <w:proofErr w:type="spellStart"/>
              <w:r>
                <w:rPr>
                  <w:rStyle w:val="a3"/>
                  <w:b/>
                  <w:bCs/>
                  <w:spacing w:val="-6"/>
                  <w:szCs w:val="28"/>
                  <w:lang w:val="en-US"/>
                </w:rPr>
                <w:t>Guterman</w:t>
              </w:r>
              <w:proofErr w:type="spellEnd"/>
              <w:r>
                <w:rPr>
                  <w:rStyle w:val="a3"/>
                  <w:b/>
                  <w:bCs/>
                  <w:spacing w:val="-6"/>
                  <w:szCs w:val="28"/>
                  <w:lang w:val="en-US"/>
                </w:rPr>
                <w:t xml:space="preserve"> AE</w:t>
              </w:r>
            </w:hyperlink>
            <w:r>
              <w:rPr>
                <w:spacing w:val="-6"/>
                <w:szCs w:val="28"/>
                <w:lang w:val="en-US"/>
              </w:rPr>
              <w:t> , </w:t>
            </w:r>
            <w:proofErr w:type="spellStart"/>
            <w:r>
              <w:fldChar w:fldCharType="begin"/>
            </w:r>
            <w:r w:rsidRPr="00BB56ED">
              <w:rPr>
                <w:lang w:val="en-US"/>
              </w:rPr>
              <w:instrText xml:space="preserve"> HYPERLINK "https://istina.msu.ru/workers/98915835/" \h </w:instrText>
            </w:r>
            <w:r>
              <w:fldChar w:fldCharType="separate"/>
            </w:r>
            <w:r>
              <w:rPr>
                <w:rStyle w:val="a3"/>
                <w:spacing w:val="-6"/>
                <w:szCs w:val="28"/>
                <w:lang w:val="en-US"/>
              </w:rPr>
              <w:t>Kudryavtsev</w:t>
            </w:r>
            <w:proofErr w:type="spellEnd"/>
            <w:r>
              <w:rPr>
                <w:rStyle w:val="a3"/>
                <w:spacing w:val="-6"/>
                <w:szCs w:val="28"/>
                <w:lang w:val="en-US"/>
              </w:rPr>
              <w:t xml:space="preserve"> DK</w:t>
            </w:r>
            <w:r>
              <w:rPr>
                <w:rStyle w:val="a3"/>
                <w:spacing w:val="-6"/>
                <w:szCs w:val="28"/>
                <w:lang w:val="en-US"/>
              </w:rPr>
              <w:fldChar w:fldCharType="end"/>
            </w:r>
            <w:r>
              <w:rPr>
                <w:spacing w:val="-6"/>
                <w:szCs w:val="28"/>
                <w:lang w:val="en-US"/>
              </w:rPr>
              <w:t>, </w:t>
            </w:r>
            <w:hyperlink r:id="rId6">
              <w:r>
                <w:rPr>
                  <w:rStyle w:val="a3"/>
                  <w:spacing w:val="-6"/>
                  <w:szCs w:val="28"/>
                  <w:lang w:val="en-US"/>
                </w:rPr>
                <w:t>Characteristic sequences of non-associative algebras</w:t>
              </w:r>
            </w:hyperlink>
            <w:r>
              <w:rPr>
                <w:spacing w:val="-6"/>
                <w:szCs w:val="28"/>
                <w:lang w:val="en-US"/>
              </w:rPr>
              <w:t xml:space="preserve">, </w:t>
            </w:r>
            <w:hyperlink r:id="rId7">
              <w:r>
                <w:rPr>
                  <w:rStyle w:val="a3"/>
                  <w:spacing w:val="-6"/>
                  <w:szCs w:val="28"/>
                  <w:lang w:val="en-US"/>
                </w:rPr>
                <w:t>Communications in Algebra</w:t>
              </w:r>
            </w:hyperlink>
            <w:r>
              <w:rPr>
                <w:spacing w:val="-6"/>
                <w:szCs w:val="28"/>
                <w:lang w:val="en-US"/>
              </w:rPr>
              <w:t>, 48 (4), (2020), p. 1713-1725.</w:t>
            </w:r>
          </w:p>
          <w:p w:rsidR="00AF04CE" w:rsidRDefault="00BB56ED">
            <w:pPr>
              <w:numPr>
                <w:ilvl w:val="0"/>
                <w:numId w:val="1"/>
              </w:numPr>
              <w:jc w:val="both"/>
              <w:rPr>
                <w:spacing w:val="-6"/>
                <w:szCs w:val="28"/>
                <w:lang w:val="en-US"/>
              </w:rPr>
            </w:pPr>
            <w:hyperlink r:id="rId8">
              <w:proofErr w:type="spellStart"/>
              <w:r>
                <w:rPr>
                  <w:rStyle w:val="a3"/>
                  <w:b/>
                  <w:bCs/>
                  <w:spacing w:val="-6"/>
                  <w:szCs w:val="28"/>
                  <w:lang w:val="en-US"/>
                </w:rPr>
                <w:t>Guterman</w:t>
              </w:r>
              <w:proofErr w:type="spellEnd"/>
              <w:r>
                <w:rPr>
                  <w:rStyle w:val="a3"/>
                  <w:b/>
                  <w:bCs/>
                  <w:spacing w:val="-6"/>
                  <w:szCs w:val="28"/>
                  <w:lang w:val="en-US"/>
                </w:rPr>
                <w:t xml:space="preserve"> AE</w:t>
              </w:r>
            </w:hyperlink>
            <w:r>
              <w:rPr>
                <w:b/>
                <w:bCs/>
                <w:spacing w:val="-6"/>
                <w:szCs w:val="28"/>
                <w:lang w:val="en-US"/>
              </w:rPr>
              <w:t>, </w:t>
            </w:r>
            <w:proofErr w:type="spellStart"/>
            <w:r>
              <w:fldChar w:fldCharType="begin"/>
            </w:r>
            <w:r w:rsidRPr="00BB56ED">
              <w:rPr>
                <w:lang w:val="en-US"/>
              </w:rPr>
              <w:instrText xml:space="preserve"> HYPERLINK "https://istina.msu.ru/workers/433771/" \h </w:instrText>
            </w:r>
            <w:r>
              <w:fldChar w:fldCharType="separate"/>
            </w:r>
            <w:r>
              <w:rPr>
                <w:rStyle w:val="a3"/>
                <w:spacing w:val="-6"/>
                <w:szCs w:val="28"/>
                <w:lang w:val="en-US"/>
              </w:rPr>
              <w:t>Kreines</w:t>
            </w:r>
            <w:proofErr w:type="spellEnd"/>
            <w:r>
              <w:rPr>
                <w:rStyle w:val="a3"/>
                <w:spacing w:val="-6"/>
                <w:szCs w:val="28"/>
                <w:lang w:val="en-US"/>
              </w:rPr>
              <w:t xml:space="preserve"> EM</w:t>
            </w:r>
            <w:r>
              <w:rPr>
                <w:rStyle w:val="a3"/>
                <w:spacing w:val="-6"/>
                <w:szCs w:val="28"/>
                <w:lang w:val="en-US"/>
              </w:rPr>
              <w:fldChar w:fldCharType="end"/>
            </w:r>
            <w:r>
              <w:rPr>
                <w:spacing w:val="-6"/>
                <w:szCs w:val="28"/>
                <w:lang w:val="en-US"/>
              </w:rPr>
              <w:t>, </w:t>
            </w:r>
            <w:proofErr w:type="spellStart"/>
            <w:r>
              <w:fldChar w:fldCharType="begin"/>
            </w:r>
            <w:r w:rsidRPr="00BB56ED">
              <w:rPr>
                <w:lang w:val="en-US"/>
              </w:rPr>
              <w:instrText xml:space="preserve"> HYPERLINK "https://istina.msu.ru/workers/140918730/" \h </w:instrText>
            </w:r>
            <w:r>
              <w:fldChar w:fldCharType="separate"/>
            </w:r>
            <w:r>
              <w:rPr>
                <w:rStyle w:val="a3"/>
                <w:spacing w:val="-6"/>
                <w:szCs w:val="28"/>
                <w:lang w:val="en-US"/>
              </w:rPr>
              <w:t>Ostroukhova</w:t>
            </w:r>
            <w:proofErr w:type="spellEnd"/>
            <w:r>
              <w:rPr>
                <w:rStyle w:val="a3"/>
                <w:spacing w:val="-6"/>
                <w:szCs w:val="28"/>
                <w:lang w:val="en-US"/>
              </w:rPr>
              <w:t xml:space="preserve"> NV</w:t>
            </w:r>
            <w:r>
              <w:rPr>
                <w:rStyle w:val="a3"/>
                <w:spacing w:val="-6"/>
                <w:szCs w:val="28"/>
                <w:lang w:val="en-US"/>
              </w:rPr>
              <w:fldChar w:fldCharType="end"/>
            </w:r>
            <w:r>
              <w:rPr>
                <w:spacing w:val="-6"/>
                <w:szCs w:val="28"/>
                <w:lang w:val="en-US"/>
              </w:rPr>
              <w:t xml:space="preserve">, </w:t>
            </w:r>
            <w:hyperlink r:id="rId9">
              <w:r>
                <w:rPr>
                  <w:rStyle w:val="a3"/>
                  <w:spacing w:val="-6"/>
                  <w:szCs w:val="28"/>
                  <w:lang w:val="en-US"/>
                </w:rPr>
                <w:t>Double occurrence words: their graphs and matrices</w:t>
              </w:r>
            </w:hyperlink>
            <w:r>
              <w:rPr>
                <w:spacing w:val="-6"/>
                <w:szCs w:val="28"/>
                <w:lang w:val="en-US"/>
              </w:rPr>
              <w:t>,  </w:t>
            </w:r>
            <w:hyperlink r:id="rId10">
              <w:r>
                <w:rPr>
                  <w:rStyle w:val="a3"/>
                  <w:spacing w:val="-6"/>
                  <w:szCs w:val="28"/>
                  <w:lang w:val="en-US"/>
                </w:rPr>
                <w:t>Journal of Mathematical Sciences</w:t>
              </w:r>
            </w:hyperlink>
            <w:r>
              <w:rPr>
                <w:spacing w:val="-6"/>
                <w:szCs w:val="28"/>
                <w:lang w:val="en-US"/>
              </w:rPr>
              <w:t> 249(2), (2020), p. 139-</w:t>
            </w:r>
            <w:r>
              <w:rPr>
                <w:spacing w:val="-6"/>
                <w:szCs w:val="28"/>
                <w:lang w:val="en-US"/>
              </w:rPr>
              <w:t>157</w:t>
            </w:r>
          </w:p>
          <w:p w:rsidR="00AF04CE" w:rsidRDefault="00BB56ED">
            <w:pPr>
              <w:numPr>
                <w:ilvl w:val="0"/>
                <w:numId w:val="1"/>
              </w:numPr>
              <w:jc w:val="both"/>
              <w:rPr>
                <w:spacing w:val="-6"/>
                <w:szCs w:val="28"/>
                <w:lang w:val="en-US"/>
              </w:rPr>
            </w:pPr>
            <w:hyperlink r:id="rId11">
              <w:proofErr w:type="spellStart"/>
              <w:r>
                <w:rPr>
                  <w:rStyle w:val="a3"/>
                  <w:b/>
                  <w:bCs/>
                  <w:spacing w:val="-6"/>
                  <w:szCs w:val="28"/>
                  <w:lang w:val="en-US"/>
                </w:rPr>
                <w:t>Guterman</w:t>
              </w:r>
              <w:proofErr w:type="spellEnd"/>
              <w:r>
                <w:rPr>
                  <w:rStyle w:val="a3"/>
                  <w:b/>
                  <w:bCs/>
                  <w:spacing w:val="-6"/>
                  <w:szCs w:val="28"/>
                  <w:lang w:val="en-US"/>
                </w:rPr>
                <w:t xml:space="preserve"> AE</w:t>
              </w:r>
            </w:hyperlink>
            <w:r>
              <w:rPr>
                <w:b/>
                <w:bCs/>
                <w:spacing w:val="-6"/>
                <w:szCs w:val="28"/>
                <w:lang w:val="en-US"/>
              </w:rPr>
              <w:t> ,</w:t>
            </w:r>
            <w:r>
              <w:rPr>
                <w:spacing w:val="-6"/>
                <w:szCs w:val="28"/>
                <w:lang w:val="en-US"/>
              </w:rPr>
              <w:t> </w:t>
            </w:r>
            <w:proofErr w:type="spellStart"/>
            <w:r>
              <w:fldChar w:fldCharType="begin"/>
            </w:r>
            <w:r w:rsidRPr="00BB56ED">
              <w:rPr>
                <w:lang w:val="en-US"/>
              </w:rPr>
              <w:instrText xml:space="preserve"> HYPERLINK "https://istina.msu.ru/workers/98915835/" \h </w:instrText>
            </w:r>
            <w:r>
              <w:fldChar w:fldCharType="separate"/>
            </w:r>
            <w:r>
              <w:rPr>
                <w:rStyle w:val="a3"/>
                <w:spacing w:val="-6"/>
                <w:szCs w:val="28"/>
                <w:lang w:val="en-US"/>
              </w:rPr>
              <w:t>Kudryavtsev</w:t>
            </w:r>
            <w:proofErr w:type="spellEnd"/>
            <w:r>
              <w:rPr>
                <w:rStyle w:val="a3"/>
                <w:spacing w:val="-6"/>
                <w:szCs w:val="28"/>
                <w:lang w:val="en-US"/>
              </w:rPr>
              <w:t xml:space="preserve"> DK</w:t>
            </w:r>
            <w:r>
              <w:rPr>
                <w:rStyle w:val="a3"/>
                <w:spacing w:val="-6"/>
                <w:szCs w:val="28"/>
                <w:lang w:val="en-US"/>
              </w:rPr>
              <w:fldChar w:fldCharType="end"/>
            </w:r>
            <w:r>
              <w:rPr>
                <w:spacing w:val="-6"/>
                <w:szCs w:val="28"/>
                <w:lang w:val="en-US"/>
              </w:rPr>
              <w:t xml:space="preserve">, </w:t>
            </w:r>
            <w:hyperlink r:id="rId12">
              <w:r>
                <w:rPr>
                  <w:rStyle w:val="a3"/>
                  <w:spacing w:val="-6"/>
                  <w:szCs w:val="28"/>
                  <w:lang w:val="en-US"/>
                </w:rPr>
                <w:t>Upper bounds for the length of no</w:t>
              </w:r>
              <w:r>
                <w:rPr>
                  <w:rStyle w:val="a3"/>
                  <w:spacing w:val="-6"/>
                  <w:szCs w:val="28"/>
                  <w:lang w:val="en-US"/>
                </w:rPr>
                <w:t>n-associative algebras</w:t>
              </w:r>
            </w:hyperlink>
            <w:r>
              <w:rPr>
                <w:spacing w:val="-6"/>
                <w:szCs w:val="28"/>
                <w:lang w:val="en-US"/>
              </w:rPr>
              <w:t>,  </w:t>
            </w:r>
            <w:hyperlink r:id="rId13">
              <w:r>
                <w:rPr>
                  <w:rStyle w:val="a3"/>
                  <w:spacing w:val="-6"/>
                  <w:szCs w:val="28"/>
                  <w:lang w:val="en-US"/>
                </w:rPr>
                <w:t>Journal of Algebra</w:t>
              </w:r>
            </w:hyperlink>
            <w:r>
              <w:rPr>
                <w:spacing w:val="-6"/>
                <w:szCs w:val="28"/>
                <w:lang w:val="en-US"/>
              </w:rPr>
              <w:t xml:space="preserve">, 544, (2020), p. 483-497. </w:t>
            </w:r>
          </w:p>
        </w:tc>
      </w:tr>
    </w:tbl>
    <w:p w:rsidR="00AF04CE" w:rsidRDefault="00AF04CE">
      <w:pPr>
        <w:rPr>
          <w:szCs w:val="28"/>
          <w:lang w:val="en-US"/>
        </w:rPr>
      </w:pPr>
      <w:bookmarkStart w:id="0" w:name="_GoBack"/>
      <w:bookmarkEnd w:id="0"/>
    </w:p>
    <w:sectPr w:rsidR="00AF04CE">
      <w:pgSz w:w="12240" w:h="15840"/>
      <w:pgMar w:top="1134" w:right="851" w:bottom="1134" w:left="158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FCA"/>
    <w:multiLevelType w:val="multilevel"/>
    <w:tmpl w:val="45647D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DF18D9"/>
    <w:multiLevelType w:val="multilevel"/>
    <w:tmpl w:val="E33AB07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E"/>
    <w:rsid w:val="00AF04CE"/>
    <w:rsid w:val="00BB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68AD7-1FB4-44F5-88DA-A32D2B13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3z1">
    <w:name w:val="WW8Num3z1"/>
    <w:qFormat/>
    <w:rPr>
      <w:color w:val="000000"/>
    </w:rPr>
  </w:style>
  <w:style w:type="character" w:customStyle="1" w:styleId="FootnoteTextChar">
    <w:name w:val="Footnote Text Char"/>
    <w:qFormat/>
    <w:rPr>
      <w:lang w:val="ru-RU" w:bidi="ar-SA"/>
    </w:rPr>
  </w:style>
  <w:style w:type="character" w:customStyle="1" w:styleId="Caracteresdenotaalpie">
    <w:name w:val="Caracteres de nota al pie"/>
    <w:qFormat/>
    <w:rPr>
      <w:vertAlign w:val="superscript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pple-converted-space">
    <w:name w:val="apple-converted-space"/>
    <w:qFormat/>
  </w:style>
  <w:style w:type="character" w:styleId="a5">
    <w:name w:val="Emphasis"/>
    <w:qFormat/>
    <w:rPr>
      <w:i/>
      <w:iCs/>
    </w:rPr>
  </w:style>
  <w:style w:type="paragraph" w:customStyle="1" w:styleId="Ttulo">
    <w:name w:val="Título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Free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a"/>
    <w:qFormat/>
    <w:pPr>
      <w:suppressLineNumbers/>
    </w:pPr>
    <w:rPr>
      <w:rFonts w:cs="FreeSans"/>
    </w:rPr>
  </w:style>
  <w:style w:type="paragraph" w:styleId="a9">
    <w:name w:val="footnote text"/>
    <w:basedOn w:val="a"/>
    <w:pPr>
      <w:overflowPunct/>
      <w:autoSpaceDE/>
      <w:textAlignment w:val="auto"/>
    </w:pPr>
    <w:rPr>
      <w:sz w:val="20"/>
    </w:rPr>
  </w:style>
  <w:style w:type="paragraph" w:styleId="aa">
    <w:name w:val="List Paragraph"/>
    <w:basedOn w:val="a"/>
    <w:qFormat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Contenidodelatabla">
    <w:name w:val="Contenido de la tabla"/>
    <w:basedOn w:val="a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tina.msu.ru/workers/421534/" TargetMode="External"/><Relationship Id="rId13" Type="http://schemas.openxmlformats.org/officeDocument/2006/relationships/hyperlink" Target="https://istina.msu.ru/journals/7085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tina.msu.ru/journals/58573/" TargetMode="External"/><Relationship Id="rId12" Type="http://schemas.openxmlformats.org/officeDocument/2006/relationships/hyperlink" Target="https://istina.msu.ru/publications/article/25204765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publications/article/252047775/" TargetMode="External"/><Relationship Id="rId11" Type="http://schemas.openxmlformats.org/officeDocument/2006/relationships/hyperlink" Target="https://istina.msu.ru/workers/421534/" TargetMode="External"/><Relationship Id="rId5" Type="http://schemas.openxmlformats.org/officeDocument/2006/relationships/hyperlink" Target="https://istina.msu.ru/workers/42153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tina.msu.ru/journals/740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publications/article/2994091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Кирпичникова Татьяна Николаевна</cp:lastModifiedBy>
  <cp:revision>2</cp:revision>
  <dcterms:created xsi:type="dcterms:W3CDTF">2025-04-24T10:49:00Z</dcterms:created>
  <dcterms:modified xsi:type="dcterms:W3CDTF">2025-04-24T10:49:00Z</dcterms:modified>
  <dc:language>es-CO</dc:language>
</cp:coreProperties>
</file>