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B4E4" w14:textId="77777777" w:rsidR="005A2CCD" w:rsidRDefault="0005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5D785B1B" w14:textId="77777777" w:rsidR="005A2CCD" w:rsidRDefault="0005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оппоненте</w:t>
      </w:r>
    </w:p>
    <w:p w14:paraId="6D4BF133" w14:textId="77777777" w:rsidR="005A2CCD" w:rsidRDefault="005A2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1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110"/>
        <w:gridCol w:w="2415"/>
        <w:gridCol w:w="2100"/>
      </w:tblGrid>
      <w:tr w:rsidR="005A2CCD" w14:paraId="40CB54FD" w14:textId="77777777">
        <w:tc>
          <w:tcPr>
            <w:tcW w:w="1530" w:type="dxa"/>
          </w:tcPr>
          <w:p w14:paraId="15711BEE" w14:textId="77777777" w:rsidR="005A2CCD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0" w:type="dxa"/>
          </w:tcPr>
          <w:p w14:paraId="2F492A3E" w14:textId="77777777" w:rsidR="005A2CCD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color w:val="000000"/>
                <w:sz w:val="24"/>
                <w:szCs w:val="24"/>
              </w:rPr>
              <w:t>в этой организации (полностью с указанием структурного подразделения)</w:t>
            </w:r>
          </w:p>
        </w:tc>
        <w:tc>
          <w:tcPr>
            <w:tcW w:w="2415" w:type="dxa"/>
          </w:tcPr>
          <w:p w14:paraId="24E64984" w14:textId="77777777" w:rsidR="005A2CCD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</w:t>
            </w:r>
            <w:r>
              <w:rPr>
                <w:sz w:val="24"/>
                <w:szCs w:val="24"/>
              </w:rPr>
              <w:t xml:space="preserve"> работников)</w:t>
            </w:r>
          </w:p>
        </w:tc>
        <w:tc>
          <w:tcPr>
            <w:tcW w:w="2100" w:type="dxa"/>
          </w:tcPr>
          <w:p w14:paraId="319F2140" w14:textId="77777777" w:rsidR="005A2CCD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5A2CCD" w14:paraId="0C09CE38" w14:textId="77777777">
        <w:trPr>
          <w:trHeight w:val="2528"/>
        </w:trPr>
        <w:tc>
          <w:tcPr>
            <w:tcW w:w="1530" w:type="dxa"/>
          </w:tcPr>
          <w:p w14:paraId="5388455A" w14:textId="77777777" w:rsidR="005A2CCD" w:rsidRDefault="00054B0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Кучумов</w:t>
            </w:r>
            <w:proofErr w:type="spellEnd"/>
            <w:r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4110" w:type="dxa"/>
          </w:tcPr>
          <w:p w14:paraId="2DD96690" w14:textId="77777777" w:rsidR="005A2CCD" w:rsidRDefault="0005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14:paraId="08406620" w14:textId="77777777" w:rsidR="005A2CCD" w:rsidRDefault="0005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614990, Пермский край, город Пермь, </w:t>
            </w:r>
            <w:r>
              <w:rPr>
                <w:sz w:val="24"/>
                <w:szCs w:val="24"/>
                <w:highlight w:val="white"/>
              </w:rPr>
              <w:t xml:space="preserve">Комсомольский </w:t>
            </w:r>
            <w:proofErr w:type="spellStart"/>
            <w:r>
              <w:rPr>
                <w:sz w:val="24"/>
                <w:szCs w:val="24"/>
                <w:highlight w:val="white"/>
              </w:rPr>
              <w:t>пр-кт</w:t>
            </w:r>
            <w:proofErr w:type="spellEnd"/>
            <w:r>
              <w:rPr>
                <w:sz w:val="24"/>
                <w:szCs w:val="24"/>
                <w:highlight w:val="white"/>
              </w:rPr>
              <w:t>, д.29,</w:t>
            </w:r>
          </w:p>
          <w:p w14:paraId="299A9BDD" w14:textId="77777777" w:rsidR="005A2CCD" w:rsidRDefault="0005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профессор кафедры вычислител</w:t>
            </w:r>
            <w:r>
              <w:rPr>
                <w:sz w:val="24"/>
                <w:szCs w:val="24"/>
              </w:rPr>
              <w:t>ьной математики, механики и биомеханики</w:t>
            </w:r>
          </w:p>
        </w:tc>
        <w:tc>
          <w:tcPr>
            <w:tcW w:w="2415" w:type="dxa"/>
          </w:tcPr>
          <w:p w14:paraId="2B5A36A4" w14:textId="77777777" w:rsidR="005A2CCD" w:rsidRDefault="0005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доктор</w:t>
            </w:r>
            <w:r>
              <w:rPr>
                <w:sz w:val="24"/>
                <w:szCs w:val="24"/>
              </w:rPr>
              <w:t xml:space="preserve"> физико-математических наук, 1.1.10. Биомеханика и биоинженерия,</w:t>
            </w:r>
            <w:r>
              <w:rPr>
                <w:sz w:val="24"/>
                <w:szCs w:val="24"/>
              </w:rPr>
              <w:br/>
              <w:t>физико-математические науки</w:t>
            </w:r>
          </w:p>
          <w:p w14:paraId="004CB29F" w14:textId="77777777" w:rsidR="005A2CCD" w:rsidRDefault="005A2CCD" w:rsidP="00533C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196D2AA5" w14:textId="7AA55256" w:rsidR="005A2CCD" w:rsidRPr="00054B04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доцент</w:t>
            </w:r>
            <w:bookmarkStart w:id="0" w:name="_GoBack"/>
            <w:bookmarkEnd w:id="0"/>
          </w:p>
        </w:tc>
      </w:tr>
      <w:tr w:rsidR="005A2CCD" w14:paraId="74F97726" w14:textId="77777777">
        <w:tc>
          <w:tcPr>
            <w:tcW w:w="10155" w:type="dxa"/>
            <w:gridSpan w:val="4"/>
          </w:tcPr>
          <w:p w14:paraId="6F38E6C1" w14:textId="77777777" w:rsidR="005A2CCD" w:rsidRDefault="0005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публикации по теме диссертации в </w:t>
            </w:r>
            <w:r>
              <w:rPr>
                <w:color w:val="000000"/>
                <w:sz w:val="24"/>
                <w:szCs w:val="24"/>
              </w:rPr>
              <w:t>рецензируемых научных изданиях за последние 5 лет (не более 15 публикаций):</w:t>
            </w:r>
          </w:p>
        </w:tc>
      </w:tr>
      <w:tr w:rsidR="005A2CCD" w:rsidRPr="00054B04" w14:paraId="7A774092" w14:textId="77777777">
        <w:tc>
          <w:tcPr>
            <w:tcW w:w="10155" w:type="dxa"/>
            <w:gridSpan w:val="4"/>
          </w:tcPr>
          <w:p w14:paraId="215CD495" w14:textId="77777777" w:rsidR="005A2CCD" w:rsidRDefault="00054B04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Биожидкости :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монография / А. Г. </w:t>
            </w:r>
            <w:proofErr w:type="spellStart"/>
            <w:r>
              <w:rPr>
                <w:sz w:val="24"/>
                <w:szCs w:val="24"/>
                <w:highlight w:val="white"/>
              </w:rPr>
              <w:t>Кучумов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М. И. </w:t>
            </w:r>
            <w:proofErr w:type="spellStart"/>
            <w:r>
              <w:rPr>
                <w:sz w:val="24"/>
                <w:szCs w:val="24"/>
                <w:highlight w:val="white"/>
              </w:rPr>
              <w:t>Шмурак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Н. С. </w:t>
            </w:r>
            <w:proofErr w:type="spellStart"/>
            <w:r>
              <w:rPr>
                <w:sz w:val="24"/>
                <w:szCs w:val="24"/>
                <w:highlight w:val="white"/>
              </w:rPr>
              <w:t>Шабрыкина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; М-во науки и </w:t>
            </w:r>
            <w:proofErr w:type="spellStart"/>
            <w:r>
              <w:rPr>
                <w:sz w:val="24"/>
                <w:szCs w:val="24"/>
                <w:highlight w:val="white"/>
              </w:rPr>
              <w:t>высш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образования Рос. Федерации, </w:t>
            </w:r>
            <w:proofErr w:type="spellStart"/>
            <w:r>
              <w:rPr>
                <w:sz w:val="24"/>
                <w:szCs w:val="24"/>
                <w:highlight w:val="white"/>
              </w:rPr>
              <w:t>Перм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нац. </w:t>
            </w:r>
            <w:proofErr w:type="spellStart"/>
            <w:r>
              <w:rPr>
                <w:sz w:val="24"/>
                <w:szCs w:val="24"/>
                <w:highlight w:val="white"/>
              </w:rPr>
              <w:t>исслед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</w:rPr>
              <w:t>политехн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ун-т. - Пермь: Изд-во ПНИПУ, </w:t>
            </w:r>
            <w:r>
              <w:rPr>
                <w:sz w:val="24"/>
                <w:szCs w:val="24"/>
                <w:highlight w:val="white"/>
              </w:rPr>
              <w:t>2019. - 127, [1] с. - ISBN 978-5-398-02216-2.</w:t>
            </w:r>
          </w:p>
          <w:p w14:paraId="015421A3" w14:textId="77777777" w:rsidR="005A2CCD" w:rsidRPr="00533CD6" w:rsidRDefault="00054B04">
            <w:pPr>
              <w:numPr>
                <w:ilvl w:val="0"/>
                <w:numId w:val="1"/>
              </w:numPr>
              <w:rPr>
                <w:sz w:val="24"/>
                <w:szCs w:val="24"/>
                <w:highlight w:val="white"/>
                <w:lang w:val="en-US"/>
              </w:rPr>
            </w:pP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Using correspondence analysis and log-linear models to investigate factors affecting cardiovascular disease / Q. Sabir, A.G.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>, T. Nguyen-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Quang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// Russian Journal of Biomechanics. - 2023. - Vol. 26, No. 1 - P. 63-74 Scopus  </w:t>
            </w:r>
          </w:p>
          <w:p w14:paraId="139B24F6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  <w:lang w:val="en-US"/>
              </w:rPr>
            </w:pP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Influence of aortic 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valve leaflet material model on hemodynamic features in healthy and pathological states / N.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Pil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A.G.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B.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Kadyraliev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V.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Arutunyan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// Mathematics [Electronic resource]. - 2023. - Vol. 11,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gramStart"/>
            <w:r w:rsidRPr="00533CD6">
              <w:rPr>
                <w:sz w:val="24"/>
                <w:szCs w:val="24"/>
                <w:highlight w:val="white"/>
                <w:lang w:val="en-US"/>
              </w:rPr>
              <w:t>2</w:t>
            </w:r>
            <w:proofErr w:type="gramEnd"/>
            <w:r w:rsidRPr="00533CD6">
              <w:rPr>
                <w:sz w:val="24"/>
                <w:szCs w:val="24"/>
                <w:highlight w:val="white"/>
                <w:lang w:val="en-US"/>
              </w:rPr>
              <w:t>, January (II). - Art. 428. - P. 1-19. - URL: https: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>//www.mdpi.com/2227-7390/11/2/428 (</w:t>
            </w:r>
            <w:r>
              <w:rPr>
                <w:sz w:val="24"/>
                <w:szCs w:val="24"/>
                <w:highlight w:val="white"/>
              </w:rPr>
              <w:t>дата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обращения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>: 21.02.2023). - DOI 10.3390/math11020428., Web of Science</w:t>
            </w:r>
          </w:p>
          <w:p w14:paraId="41E5B46E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  <w:lang w:val="en-US"/>
              </w:rPr>
            </w:pP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Finite element modeling of the fingers and wrist flexion/extension effect on median nerve Compression / S.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Peshin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Y.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Karakulova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A. G.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// 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>Applied Sciences [Electronic resource]. - 2023. - Vol. 13, № 2, January (II). - Art. 1219. - P. 1-14. - URL: https://www.mdpi.com/2076-3417/13/2/1219 (</w:t>
            </w:r>
            <w:r>
              <w:rPr>
                <w:sz w:val="24"/>
                <w:szCs w:val="24"/>
                <w:highlight w:val="white"/>
              </w:rPr>
              <w:t>дата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обращения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>: 21.02.2023). - DOI 10.3390/app13021219., Web of Science</w:t>
            </w:r>
          </w:p>
          <w:p w14:paraId="2447B4BF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  <w:lang w:val="en-US"/>
              </w:rPr>
            </w:pPr>
            <w:r w:rsidRPr="00533CD6">
              <w:rPr>
                <w:sz w:val="24"/>
                <w:szCs w:val="24"/>
                <w:highlight w:val="white"/>
                <w:lang w:val="en-US"/>
              </w:rPr>
              <w:lastRenderedPageBreak/>
              <w:t xml:space="preserve">Numerical and experimental study 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of a lattice structure for orthopedic applications / N.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Kharin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P.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Bolshakov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A.G.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// Materials [Electronic resource]. - 2023. - Vol. 16,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gramStart"/>
            <w:r w:rsidRPr="00533CD6">
              <w:rPr>
                <w:sz w:val="24"/>
                <w:szCs w:val="24"/>
                <w:highlight w:val="white"/>
                <w:lang w:val="en-US"/>
              </w:rPr>
              <w:t>2</w:t>
            </w:r>
            <w:proofErr w:type="gramEnd"/>
            <w:r w:rsidRPr="00533CD6">
              <w:rPr>
                <w:sz w:val="24"/>
                <w:szCs w:val="24"/>
                <w:highlight w:val="white"/>
                <w:lang w:val="en-US"/>
              </w:rPr>
              <w:t>, January (II). - Art. 744. - P. 1-13. - URL: https://www.mdpi.com/1996-1944/16/2/744 (</w:t>
            </w:r>
            <w:r>
              <w:rPr>
                <w:sz w:val="24"/>
                <w:szCs w:val="24"/>
                <w:highlight w:val="white"/>
              </w:rPr>
              <w:t>дата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обращения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: 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>21.02.2023). - DOI 10.3390/ma16020744., Web of Science</w:t>
            </w:r>
          </w:p>
          <w:p w14:paraId="6DEDB7D6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highlight w:val="white"/>
                <w:lang w:val="en-US"/>
              </w:rPr>
            </w:pP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Numerical study of the mechanical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behaviour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of wedge-shaped defect filling materials /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br/>
              <w:t xml:space="preserve"> L.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Sakhabutdinova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A.A.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Kamenskikh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A.G.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Y.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Nosov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, I.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Baradina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 // Materials [Electronic resource]. - 20</w:t>
            </w:r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22. - Vol. 15, </w:t>
            </w:r>
            <w:proofErr w:type="spellStart"/>
            <w:r w:rsidRPr="00533CD6">
              <w:rPr>
                <w:sz w:val="24"/>
                <w:szCs w:val="24"/>
                <w:highlight w:val="white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highlight w:val="white"/>
                <w:lang w:val="en-US"/>
              </w:rPr>
              <w:t xml:space="preserve">. </w:t>
            </w:r>
            <w:proofErr w:type="gramStart"/>
            <w:r w:rsidRPr="00533CD6">
              <w:rPr>
                <w:sz w:val="24"/>
                <w:szCs w:val="24"/>
                <w:highlight w:val="white"/>
                <w:lang w:val="en-US"/>
              </w:rPr>
              <w:t>20</w:t>
            </w:r>
            <w:proofErr w:type="gramEnd"/>
            <w:r w:rsidRPr="00533CD6">
              <w:rPr>
                <w:sz w:val="24"/>
                <w:szCs w:val="24"/>
                <w:highlight w:val="white"/>
                <w:lang w:val="en-US"/>
              </w:rPr>
              <w:t>, October-2. - Art. 7387. - P</w:t>
            </w:r>
            <w:r w:rsidRPr="00533CD6">
              <w:rPr>
                <w:sz w:val="24"/>
                <w:szCs w:val="24"/>
                <w:lang w:val="en-US"/>
              </w:rPr>
              <w:t>. 1-15. - URL: https://www.mdpi.com/1996-1944/15/20/7387 (</w:t>
            </w:r>
            <w:r>
              <w:rPr>
                <w:sz w:val="24"/>
                <w:szCs w:val="24"/>
              </w:rPr>
              <w:t>дата</w:t>
            </w:r>
            <w:r w:rsidRPr="00533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 w:rsidRPr="00533CD6">
              <w:rPr>
                <w:sz w:val="24"/>
                <w:szCs w:val="24"/>
                <w:lang w:val="en-US"/>
              </w:rPr>
              <w:t>: 31.10.2022). - DOI 10.3390/ma15207387., Web of Science</w:t>
            </w:r>
          </w:p>
          <w:p w14:paraId="53B26C46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Khairulin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Shmurak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Porodikov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Merzlyakov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 The eff</w:t>
            </w:r>
            <w:r w:rsidRPr="00533CD6">
              <w:rPr>
                <w:sz w:val="24"/>
                <w:szCs w:val="24"/>
                <w:lang w:val="en-US"/>
              </w:rPr>
              <w:t xml:space="preserve">ects of the mechanical properties of vascular grafts and an anisotropic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hyperelastic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aortic model on local hemodynamics during modified Blalock–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Taussig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shunt operation, assessed using FSI simulation // Materials 2022, 15(8), 2719. – DOI: 10.3390/ma15082719</w:t>
            </w:r>
            <w:r w:rsidRPr="00533CD6">
              <w:rPr>
                <w:sz w:val="24"/>
                <w:szCs w:val="24"/>
                <w:lang w:val="en-US"/>
              </w:rPr>
              <w:t xml:space="preserve"> </w:t>
            </w:r>
          </w:p>
          <w:p w14:paraId="7EF0AA0B" w14:textId="77777777" w:rsidR="005A2CCD" w:rsidRPr="00533CD6" w:rsidRDefault="00054B04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533CD6">
              <w:rPr>
                <w:sz w:val="24"/>
                <w:szCs w:val="24"/>
                <w:lang w:val="en-US"/>
              </w:rPr>
              <w:t>Kamaltdinov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Sadeghy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K. Numerical modeling of the flow of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chyme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in the large intestine in normal conditions and in the presence of disorders // Series on Biomechanics. – 2022. – Vol.36 No.1. – P. 105-112. – DOI: 10.7546/SB.14.2022.  </w:t>
            </w:r>
          </w:p>
          <w:p w14:paraId="71B8686C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533CD6">
              <w:rPr>
                <w:sz w:val="24"/>
                <w:szCs w:val="24"/>
                <w:lang w:val="en-US"/>
              </w:rPr>
              <w:t>Ta</w:t>
            </w:r>
            <w:r w:rsidRPr="00533CD6">
              <w:rPr>
                <w:sz w:val="24"/>
                <w:szCs w:val="24"/>
                <w:lang w:val="en-US"/>
              </w:rPr>
              <w:t>ghilou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Pourjafar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Taghavi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S.M.,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Nejadd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Sadeghy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K. Numerical simulation of viscoelastic effects in peristaltic transport of drops // Journal of Non-Newtonian Fluid Mechanics. – 2022. – 104826. – DOI: 10.1016/j.jnnfm.2022.104826</w:t>
            </w:r>
            <w:r w:rsidRPr="00533CD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A8ADDF6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33CD6">
              <w:rPr>
                <w:sz w:val="24"/>
                <w:szCs w:val="24"/>
                <w:lang w:val="en-US"/>
              </w:rPr>
              <w:t xml:space="preserve">Discriminant analysis of main factors affecting hemodynamically significant PDA: Apgar score, Silverman Anderson score, and NT-pro-BNP level / A.V.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Permyakova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Porodikov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</w:t>
            </w:r>
            <w:r w:rsidRPr="00533CD6">
              <w:rPr>
                <w:sz w:val="24"/>
                <w:szCs w:val="24"/>
                <w:lang w:val="en-US"/>
              </w:rPr>
              <w:br/>
              <w:t xml:space="preserve">A.G.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 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Biyanov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Arutunyan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E.G. Furman, Y.S.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Sinelnkov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Journal </w:t>
            </w:r>
            <w:r w:rsidRPr="00533CD6">
              <w:rPr>
                <w:sz w:val="24"/>
                <w:szCs w:val="24"/>
                <w:lang w:val="en-US"/>
              </w:rPr>
              <w:t xml:space="preserve">of Clinical Medicine [Electronic resource]. - 2021. - Vol. 10,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>. 16. - Art. 3729. - P. 1-12. - URL: https://www.mdpi.com/2077-0383/10/16/3729 (</w:t>
            </w:r>
            <w:r>
              <w:rPr>
                <w:sz w:val="24"/>
                <w:szCs w:val="24"/>
              </w:rPr>
              <w:t>дата</w:t>
            </w:r>
            <w:r w:rsidRPr="00533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 w:rsidRPr="00533CD6">
              <w:rPr>
                <w:sz w:val="24"/>
                <w:szCs w:val="24"/>
                <w:lang w:val="en-US"/>
              </w:rPr>
              <w:t>: 03.09.2021). - DOI 10.3390/jcm10163729., Web of Science</w:t>
            </w:r>
          </w:p>
          <w:p w14:paraId="4C720168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33CD6">
              <w:rPr>
                <w:sz w:val="24"/>
                <w:szCs w:val="24"/>
                <w:lang w:val="en-US"/>
              </w:rPr>
              <w:t>Clinical classification of the diabeti</w:t>
            </w:r>
            <w:r w:rsidRPr="00533CD6">
              <w:rPr>
                <w:sz w:val="24"/>
                <w:szCs w:val="24"/>
                <w:lang w:val="en-US"/>
              </w:rPr>
              <w:t xml:space="preserve">c foot syndrome adapted to ICD-10 as a solution to the problem of diagnostics, statistics and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standardisation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 P.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Lukin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A.G.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</w:t>
            </w:r>
            <w:r w:rsidRPr="00533CD6">
              <w:rPr>
                <w:sz w:val="24"/>
                <w:szCs w:val="24"/>
                <w:lang w:val="en-US"/>
              </w:rPr>
              <w:br/>
              <w:t xml:space="preserve">M.F.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Zarivchatskiy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Kravtsova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Medicina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[Electronic resource]. - 2021. - Vol. 57,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. 8. - Art. 817. - P. 1-14. </w:t>
            </w:r>
            <w:r w:rsidRPr="00533CD6">
              <w:rPr>
                <w:sz w:val="24"/>
                <w:szCs w:val="24"/>
                <w:lang w:val="en-US"/>
              </w:rPr>
              <w:t>- URL: https://www.mdpi.com/1648-9144/57/8/817 (</w:t>
            </w:r>
            <w:r>
              <w:rPr>
                <w:sz w:val="24"/>
                <w:szCs w:val="24"/>
              </w:rPr>
              <w:t>дата</w:t>
            </w:r>
            <w:r w:rsidRPr="00533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 w:rsidRPr="00533CD6">
              <w:rPr>
                <w:sz w:val="24"/>
                <w:szCs w:val="24"/>
                <w:lang w:val="en-US"/>
              </w:rPr>
              <w:t>: 03.09.2021). - DOI 10.3390/medicina57080817., Web of Science</w:t>
            </w:r>
          </w:p>
          <w:p w14:paraId="4CACC0DB" w14:textId="77777777" w:rsidR="005A2CCD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33CD6">
              <w:rPr>
                <w:sz w:val="24"/>
                <w:szCs w:val="24"/>
                <w:lang w:val="en-US"/>
              </w:rPr>
              <w:t xml:space="preserve">Patient-specific bile flow simulation to evaluate cholecystectomy outcome / 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IOP Conference Series: Materials Science and Engineering [Electronic resource]. - 2019. - </w:t>
            </w:r>
            <w:r w:rsidRPr="00533CD6">
              <w:rPr>
                <w:sz w:val="24"/>
                <w:szCs w:val="24"/>
                <w:lang w:val="en-US"/>
              </w:rPr>
              <w:br/>
              <w:t xml:space="preserve">Vol. 581. - Art. 012022. </w:t>
            </w:r>
            <w:r>
              <w:rPr>
                <w:sz w:val="24"/>
                <w:szCs w:val="24"/>
              </w:rPr>
              <w:t>8 p. URL:</w:t>
            </w:r>
            <w:hyperlink r:id="rId5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Ссылка</w:t>
              </w:r>
            </w:hyperlink>
            <w:r>
              <w:rPr>
                <w:sz w:val="24"/>
                <w:szCs w:val="24"/>
              </w:rPr>
              <w:t xml:space="preserve"> (дата обращения: 09.08.2019). - DOI 10.1088/1757-899X/581/1/012022.,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</w:p>
          <w:p w14:paraId="1A6F75BE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33CD6">
              <w:rPr>
                <w:sz w:val="24"/>
                <w:szCs w:val="24"/>
                <w:lang w:val="en-US"/>
              </w:rPr>
              <w:t>Fabrication of silica optica</w:t>
            </w:r>
            <w:r w:rsidRPr="00533CD6">
              <w:rPr>
                <w:sz w:val="24"/>
                <w:szCs w:val="24"/>
                <w:lang w:val="en-US"/>
              </w:rPr>
              <w:t xml:space="preserve">l fibers: optimal control problem solution / V.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Pervadchuk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</w:t>
            </w:r>
            <w:r w:rsidRPr="00533CD6">
              <w:rPr>
                <w:sz w:val="24"/>
                <w:szCs w:val="24"/>
                <w:lang w:val="en-US"/>
              </w:rPr>
              <w:br/>
              <w:t xml:space="preserve">D.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Vladimirova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Gordeeva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A. G.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Dektyarev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Fibers. - 2021. - Vol. 9,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>. 12. - Art. 77. - P. 1-28., Web of Science</w:t>
            </w:r>
          </w:p>
          <w:p w14:paraId="4104A7E1" w14:textId="77777777" w:rsidR="005A2CCD" w:rsidRPr="00533CD6" w:rsidRDefault="00054B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33CD6">
              <w:rPr>
                <w:sz w:val="24"/>
                <w:szCs w:val="24"/>
                <w:lang w:val="en-US"/>
              </w:rPr>
              <w:t xml:space="preserve">Patient-specific simulation of a gallbladder refilling based </w:t>
            </w:r>
            <w:r w:rsidRPr="00533CD6">
              <w:rPr>
                <w:sz w:val="24"/>
                <w:szCs w:val="24"/>
                <w:lang w:val="en-US"/>
              </w:rPr>
              <w:t xml:space="preserve">on MRI and ultrasound in vivo measurements / A.G.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M.R.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Kamaltdinov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Samartsev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A.R.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Khairulin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Ivashova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Taiar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28th Russian Conference on Mathematical Modelling in Natural Sciences : [proceedings], Perm, Russia, 2-5 Oct. 2019 / Ed</w:t>
            </w:r>
            <w:r w:rsidRPr="00533CD6">
              <w:rPr>
                <w:sz w:val="24"/>
                <w:szCs w:val="24"/>
                <w:lang w:val="en-US"/>
              </w:rPr>
              <w:t xml:space="preserve">.: V.P.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Matveenko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P.V.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Trusov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Yants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Faerman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, Amer. Inst. of Physics (AIP). - </w:t>
            </w:r>
            <w:proofErr w:type="gramStart"/>
            <w:r w:rsidRPr="00533CD6">
              <w:rPr>
                <w:sz w:val="24"/>
                <w:szCs w:val="24"/>
                <w:lang w:val="en-US"/>
              </w:rPr>
              <w:t>Melville :</w:t>
            </w:r>
            <w:proofErr w:type="gramEnd"/>
            <w:r w:rsidRPr="00533CD6">
              <w:rPr>
                <w:sz w:val="24"/>
                <w:szCs w:val="24"/>
                <w:lang w:val="en-US"/>
              </w:rPr>
              <w:t xml:space="preserve"> AIP Publishing, 2020. - Art. 060004. - P. 060004-1060004-12. (AIP Conference Proceedings ; vol. 2216)., Web of Science</w:t>
            </w:r>
          </w:p>
          <w:p w14:paraId="6AA942DE" w14:textId="77777777" w:rsidR="005A2CCD" w:rsidRPr="00533CD6" w:rsidRDefault="00054B04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33CD6">
              <w:rPr>
                <w:sz w:val="24"/>
                <w:szCs w:val="24"/>
                <w:lang w:val="en-US"/>
              </w:rPr>
              <w:t>Mathematical modeling of deposits a</w:t>
            </w:r>
            <w:r w:rsidRPr="00533CD6">
              <w:rPr>
                <w:sz w:val="24"/>
                <w:szCs w:val="24"/>
                <w:lang w:val="en-US"/>
              </w:rPr>
              <w:t xml:space="preserve">ccumulation on the plastic biliary stent surface for predicting its occlusion / A.G.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Kuchumov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Izvestiya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 xml:space="preserve"> of Saratov University. New Series. Series: Mathematics. Mechanics. Informatics [Electronic resource]. - 2020. - Vol. 20, </w:t>
            </w:r>
            <w:proofErr w:type="spellStart"/>
            <w:r w:rsidRPr="00533CD6">
              <w:rPr>
                <w:sz w:val="24"/>
                <w:szCs w:val="24"/>
                <w:lang w:val="en-US"/>
              </w:rPr>
              <w:t>Iss</w:t>
            </w:r>
            <w:proofErr w:type="spellEnd"/>
            <w:r w:rsidRPr="00533CD6">
              <w:rPr>
                <w:sz w:val="24"/>
                <w:szCs w:val="24"/>
                <w:lang w:val="en-US"/>
              </w:rPr>
              <w:t>. 2. - P. 220-231. - URL:</w:t>
            </w:r>
            <w:r w:rsidRPr="00533CD6">
              <w:rPr>
                <w:sz w:val="24"/>
                <w:szCs w:val="24"/>
                <w:lang w:val="en-US"/>
              </w:rPr>
              <w:t xml:space="preserve"> https://www.scopus.com. URL:</w:t>
            </w:r>
            <w:hyperlink r:id="rId7">
              <w:r w:rsidRPr="00533CD6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Ссылка</w:t>
              </w:r>
            </w:hyperlink>
            <w:r w:rsidRPr="00533CD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дата</w:t>
            </w:r>
            <w:r w:rsidRPr="00533CD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 w:rsidRPr="00533CD6">
              <w:rPr>
                <w:sz w:val="24"/>
                <w:szCs w:val="24"/>
                <w:lang w:val="en-US"/>
              </w:rPr>
              <w:t>: 03.09.2020). - DOI 10.18500/1816-9791-2020-20-2-220-231., Web of Science</w:t>
            </w:r>
          </w:p>
        </w:tc>
      </w:tr>
    </w:tbl>
    <w:p w14:paraId="4BF51FE4" w14:textId="77777777" w:rsidR="005A2CCD" w:rsidRPr="00533CD6" w:rsidRDefault="005A2CCD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color w:val="000000"/>
          <w:sz w:val="28"/>
          <w:szCs w:val="28"/>
          <w:lang w:val="en-US"/>
        </w:rPr>
      </w:pPr>
    </w:p>
    <w:p w14:paraId="15D55B9A" w14:textId="77777777" w:rsidR="005A2CCD" w:rsidRPr="00533CD6" w:rsidRDefault="005A2CCD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  <w:lang w:val="en-US"/>
        </w:rPr>
      </w:pPr>
    </w:p>
    <w:sectPr w:rsidR="005A2CCD" w:rsidRPr="00533CD6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2700"/>
    <w:multiLevelType w:val="multilevel"/>
    <w:tmpl w:val="DA662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D"/>
    <w:rsid w:val="00054B04"/>
    <w:rsid w:val="00533CD6"/>
    <w:rsid w:val="005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180D"/>
  <w15:docId w15:val="{F77E06D3-10E4-4DD8-8D18-EBACE2C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pscience.iop.org/article/10.1088/1757-899X/581/1/012022/pdf" TargetMode="External"/><Relationship Id="rId5" Type="http://schemas.openxmlformats.org/officeDocument/2006/relationships/hyperlink" Target="http://iopscience.iop.org/article/10.1088/1757-899X/581/1/012022/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Кирпичникова Татьяна Николаевна</dc:creator>
  <cp:lastModifiedBy>Кирпичникова Татьяна Николаевна</cp:lastModifiedBy>
  <cp:revision>2</cp:revision>
  <dcterms:created xsi:type="dcterms:W3CDTF">2023-09-12T05:23:00Z</dcterms:created>
  <dcterms:modified xsi:type="dcterms:W3CDTF">2023-09-12T05:23:00Z</dcterms:modified>
</cp:coreProperties>
</file>